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3BFBB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5670"/>
        <w:rPr>
          <w:rFonts w:ascii="Times New Roman" w:eastAsia="SimHei" w:hAnsi="Times New Roman" w:cs="Times New Roman"/>
          <w:b/>
          <w:bCs/>
          <w:sz w:val="24"/>
          <w:szCs w:val="24"/>
        </w:rPr>
      </w:pPr>
      <w:bookmarkStart w:id="0" w:name="_Hlk137215339"/>
      <w:bookmarkStart w:id="1" w:name="_Hlk174538308"/>
      <w:bookmarkStart w:id="2" w:name="_GoBack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БЕКИТЕМ</w:t>
      </w:r>
    </w:p>
    <w:p w14:paraId="52CF5907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Кыргыз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Республикасынын</w:t>
      </w:r>
      <w:proofErr w:type="spellEnd"/>
    </w:p>
    <w:p w14:paraId="77973130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Саламаттык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сактоо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министрлигинин</w:t>
      </w:r>
      <w:proofErr w:type="spellEnd"/>
    </w:p>
    <w:p w14:paraId="7E4701DC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</w:rPr>
      </w:pP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алдындагы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Дары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каражаттары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жана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медициналык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буюмдар</w:t>
      </w:r>
      <w:proofErr w:type="spellEnd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департаментинин</w:t>
      </w:r>
      <w:proofErr w:type="spellEnd"/>
    </w:p>
    <w:p w14:paraId="051F45D8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463570">
        <w:rPr>
          <w:rFonts w:ascii="Times New Roman" w:eastAsia="SimHei" w:hAnsi="Times New Roman" w:cs="Times New Roman"/>
          <w:b/>
          <w:bCs/>
          <w:sz w:val="24"/>
          <w:szCs w:val="24"/>
        </w:rPr>
        <w:t>директору</w:t>
      </w:r>
      <w:r w:rsidRPr="00463570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нун орун басары</w:t>
      </w:r>
    </w:p>
    <w:p w14:paraId="1BC718C2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463570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Кысанов Т.А. _______________</w:t>
      </w:r>
    </w:p>
    <w:p w14:paraId="400D812D" w14:textId="77777777" w:rsidR="00463570" w:rsidRPr="00463570" w:rsidRDefault="00463570" w:rsidP="00463570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</w:pPr>
      <w:r w:rsidRPr="00463570">
        <w:rPr>
          <w:rFonts w:ascii="Times New Roman" w:eastAsia="SimHei" w:hAnsi="Times New Roman" w:cs="Times New Roman"/>
          <w:b/>
          <w:bCs/>
          <w:sz w:val="24"/>
          <w:szCs w:val="24"/>
          <w:lang w:val="ky-KG"/>
        </w:rPr>
        <w:t>«_____»__________________________2024-ж.</w:t>
      </w:r>
    </w:p>
    <w:bookmarkEnd w:id="0"/>
    <w:p w14:paraId="413FC714" w14:textId="77777777" w:rsidR="00463570" w:rsidRPr="00463570" w:rsidRDefault="00463570" w:rsidP="0046357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y" w:eastAsia="ru-RU"/>
        </w:rPr>
      </w:pPr>
    </w:p>
    <w:p w14:paraId="46C52873" w14:textId="77777777" w:rsidR="00463570" w:rsidRPr="00463570" w:rsidRDefault="00463570" w:rsidP="004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4ADA9FC" w14:textId="77777777" w:rsidR="00463570" w:rsidRPr="00463570" w:rsidRDefault="00463570" w:rsidP="004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ДАРЫ КАРАЖАТЫН МЕДИЦИНАДА КОЛДОНУУ БОЮНЧА </w:t>
      </w:r>
    </w:p>
    <w:p w14:paraId="655ED2BB" w14:textId="77777777" w:rsidR="00463570" w:rsidRPr="00463570" w:rsidRDefault="00463570" w:rsidP="00463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НУСКАМА </w:t>
      </w:r>
    </w:p>
    <w:p w14:paraId="01C733E4" w14:textId="77777777" w:rsidR="00463570" w:rsidRPr="00463570" w:rsidRDefault="00463570" w:rsidP="00463570">
      <w:pPr>
        <w:rPr>
          <w:rFonts w:ascii="Calibri" w:eastAsia="Calibri" w:hAnsi="Calibri" w:cs="Times New Roman"/>
        </w:rPr>
      </w:pPr>
    </w:p>
    <w:p w14:paraId="521E7124" w14:textId="77777777" w:rsidR="00463570" w:rsidRPr="00463570" w:rsidRDefault="00463570" w:rsidP="00463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E75E93" w14:textId="77777777" w:rsidR="00463570" w:rsidRPr="00463570" w:rsidRDefault="00463570" w:rsidP="0046357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ДЖОЙКЛАВ-625</w:t>
      </w:r>
    </w:p>
    <w:p w14:paraId="6B241ED7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C01E9B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Соодадагы</w:t>
      </w:r>
      <w:proofErr w:type="spellEnd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аталышы</w:t>
      </w:r>
      <w:proofErr w:type="spellEnd"/>
    </w:p>
    <w:p w14:paraId="5C630DED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ДЖОЙКЛАВ-625</w:t>
      </w:r>
    </w:p>
    <w:p w14:paraId="5F1A3355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0B3035D9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Эл </w:t>
      </w: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аралык</w:t>
      </w:r>
      <w:proofErr w:type="spellEnd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патенттелбеген</w:t>
      </w:r>
      <w:proofErr w:type="spellEnd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аталышы</w:t>
      </w:r>
      <w:proofErr w:type="spellEnd"/>
    </w:p>
    <w:p w14:paraId="538E83DF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Амоксициллин+клавулан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кислотасы</w:t>
      </w:r>
      <w:proofErr w:type="spellEnd"/>
    </w:p>
    <w:p w14:paraId="1D65EB23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69FA717C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Дарынын</w:t>
      </w:r>
      <w:proofErr w:type="spellEnd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түрү</w:t>
      </w:r>
      <w:proofErr w:type="spellEnd"/>
    </w:p>
    <w:p w14:paraId="47E07EBC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Жука чел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кабык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капталган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таблеткалар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0A6AC03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3C5D20F3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Курамы</w:t>
      </w:r>
      <w:proofErr w:type="spellEnd"/>
    </w:p>
    <w:p w14:paraId="5BC5E6BD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</w:rPr>
      </w:pPr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val="ky-KG" w:eastAsia="ru-RU"/>
        </w:rPr>
        <w:t>ДЖОЙКЛАВ-625</w:t>
      </w:r>
    </w:p>
    <w:p w14:paraId="5231C00B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Ар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бир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жука чел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кабык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менен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капталган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таблетка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төмөнкүлөрдү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камтыйт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59A1489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Активдүү</w:t>
      </w:r>
      <w:proofErr w:type="spellEnd"/>
      <w:r w:rsidRPr="0046357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заттар</w:t>
      </w:r>
      <w:proofErr w:type="spellEnd"/>
      <w:r w:rsidRPr="0046357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:</w:t>
      </w:r>
    </w:p>
    <w:p w14:paraId="1B6B1749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Амоксициллин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трихидрат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500 мг -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амоксициллинге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туура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келет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6690F1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Суюлтулган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калий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клавуланаты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125 мг -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клавулан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кислотасына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туура</w:t>
      </w:r>
      <w:proofErr w:type="spellEnd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келет</w:t>
      </w:r>
      <w:proofErr w:type="spellEnd"/>
    </w:p>
    <w:p w14:paraId="37755281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Кѳмѳкчү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заттар</w:t>
      </w:r>
      <w:proofErr w:type="spellEnd"/>
    </w:p>
    <w:p w14:paraId="2AEAF4A8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Микрокристаллдык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целлюлоза,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коллоиддик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суусуз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кремний,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кросповидон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тазаланган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тальк, магний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стеараты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B8AA0D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Чел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кабыкчасынын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курамы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5160601B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Гипромеллоза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полиэтиленгликоль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титандын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диоксиди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изопропил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спирти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дихлорметан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53CC2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1ECC57B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roofErr w:type="spellStart"/>
      <w:r w:rsidRPr="0046357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Сүрѳттѳмѳсү</w:t>
      </w:r>
      <w:proofErr w:type="spellEnd"/>
    </w:p>
    <w:p w14:paraId="204E46C6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Актан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дээрлик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түскө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чейин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узунунан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келген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эки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бети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томпок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жука чел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кабык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менен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капталган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эки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тарабы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тегиз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жылмакай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proofErr w:type="spellStart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таблеткалар</w:t>
      </w:r>
      <w:proofErr w:type="spellEnd"/>
      <w:r w:rsidRPr="0046357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14:paraId="75FDE95A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14:paraId="28EE1037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Фармадарылык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тобу</w:t>
      </w:r>
      <w:proofErr w:type="spellEnd"/>
    </w:p>
    <w:p w14:paraId="4FF0E4D2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Системалык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бактерияга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ky-KG"/>
        </w:rPr>
        <w:t>каражаттар</w:t>
      </w:r>
      <w:r w:rsidRPr="00463570">
        <w:rPr>
          <w:rFonts w:ascii="Times New Roman" w:eastAsia="Calibri" w:hAnsi="Times New Roman" w:cs="Times New Roman"/>
          <w:sz w:val="24"/>
          <w:szCs w:val="24"/>
        </w:rPr>
        <w:t>; 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каражаттар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айкалышы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ингибиторлору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7873A22" w14:textId="77777777" w:rsidR="00463570" w:rsidRPr="00463570" w:rsidRDefault="00463570" w:rsidP="0046357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>ATX коду J01CR02</w:t>
      </w:r>
    </w:p>
    <w:p w14:paraId="49CE0F21" w14:textId="77777777" w:rsidR="00463570" w:rsidRPr="00463570" w:rsidRDefault="00463570" w:rsidP="0046357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01274A9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Фармакологиялык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касиеттери</w:t>
      </w:r>
      <w:proofErr w:type="spellEnd"/>
    </w:p>
    <w:p w14:paraId="5B65686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Фармакодинамикасы</w:t>
      </w:r>
      <w:proofErr w:type="spellEnd"/>
    </w:p>
    <w:p w14:paraId="5C62562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– 625/1000 –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синтетикалык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чѳйрѳдѳ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берүүчү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антибиотик,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корголгон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тобундагы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ингибиторлор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көптөгөн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патогендик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bookmarkEnd w:id="2"/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lastRenderedPageBreak/>
        <w:t>микроорганизмдер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карбапенемдер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коргоо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туруктуулукка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өндүрүлгөн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 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ферменттеринин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фрагменттерге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заттарга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гидролиздейт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).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кылуучу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резистенттүү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). Амоксициллин 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синтетикалык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ky-KG"/>
        </w:rPr>
        <w:t>чөйрөдө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берүүчү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антибиотик,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көптөгөн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грамм-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грамм-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карата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 Амоксициллин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ошондуктан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активдүүлүгүнүн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спектрине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өндүрүүчү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кирбейт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90510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кошулма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саналат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ферментативдик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бербөөчү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кеңири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спектрин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активдештирүү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жөндөмүнө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инактивдештирилген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комплексти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түзөт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81C6E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түзүлүшү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окшош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бирок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активдүүлүгү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дээрлик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II, III, IV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V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типтерин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(Ричмонд-Сайкс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классификациясы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ингибирлейт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бирок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Enterobacter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spp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Pseudomonas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spp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Serratia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spp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.,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Acinetobacter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</w:rPr>
        <w:t>spp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өндүрүлгөн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типтеги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курамында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β-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коргойт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активдүүлүгүнүн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спектрин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ага,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адатта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ага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башка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резистенттүү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кошуу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кеңейтет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Препарат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бактерициддик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берүүнүн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кеңири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спектрине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B920D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Төмөнкү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карата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42E323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грам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аэробдор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Streptococcus pneumoniae, Streptococcus pyogenes, Streptococcus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viridans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Streptococcus agalactiae, Streptococcus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bovis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; Staphylococcus spp. (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метициллинорезистенттүү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штаммдардар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тышкары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), Staphylococcus epidermidis (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кроме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метициллинорезистенттик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штаммдардан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тышкары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), Staphylococcus saprophyticus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башка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коагулазо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-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негативдүү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стафилококтор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, Enterococcus spp. (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ошондой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эле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Enterococcus faecalis), 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Bacillis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anthracis,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Corynobacterium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spp., Listeria monocytogenes, Nocardia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asteroides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;</w:t>
      </w:r>
    </w:p>
    <w:p w14:paraId="6B49852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грам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аэробдор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Escherichia coli,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influenzae, Klebsiella spp., Moraxella catarrhalis, Bordetella pertussis, Brucella spp.,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Campilobacter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jejuni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Eikenella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corrodens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Enterobacter spp., Gardnerella vaginalis,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Haemophilus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ducreyi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Neisseria gonorrhoeae, Neisseria meningitidis,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Pasterulla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multodica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Proteus spp., Salmonella spp., Shigella spp., Vibrio cholerae, Yersinia enterocolitica; </w:t>
      </w:r>
    </w:p>
    <w:p w14:paraId="7E8712B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грам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грам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анаэробдор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r w:rsidRPr="0046357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Actinomyces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lang w:val="en-US"/>
        </w:rPr>
        <w:t>israelii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Bacteroides spp. (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ошондой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эле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Bacteroides fragilis), Clostridium spp. (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кроме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Clostridium difficile), Fusobacterium spp.,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Peptococcus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spp.,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Peptostreptococcus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spp.,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Prevotella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spp.;</w:t>
      </w:r>
    </w:p>
    <w:p w14:paraId="1EE5208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46357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- </w:t>
      </w:r>
      <w:r w:rsidRPr="00463570">
        <w:rPr>
          <w:rFonts w:ascii="Times New Roman" w:eastAsia="Calibri" w:hAnsi="Times New Roman" w:cs="Times New Roman"/>
          <w:iCs/>
          <w:sz w:val="24"/>
          <w:szCs w:val="24"/>
        </w:rPr>
        <w:t>башка</w:t>
      </w:r>
      <w:r w:rsidRPr="0046357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Cs/>
          <w:sz w:val="24"/>
          <w:szCs w:val="24"/>
        </w:rPr>
        <w:t>микроорганизмдер</w:t>
      </w:r>
      <w:proofErr w:type="spellEnd"/>
      <w:r w:rsidRPr="00463570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:</w:t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Borrelia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burgdgoferi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Chlamydia spp., Helicobacter pylori, Leptospira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icetrogeamorragiae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, Treponema pallidum.</w:t>
      </w:r>
    </w:p>
    <w:p w14:paraId="571E1AE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38FC23A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Фармакокинетикасы</w:t>
      </w:r>
      <w:proofErr w:type="spellEnd"/>
      <w:r w:rsidRPr="00463570">
        <w:rPr>
          <w:rFonts w:ascii="Calibri" w:eastAsia="Calibri" w:hAnsi="Calibri" w:cs="Times New Roman"/>
          <w:sz w:val="24"/>
          <w:szCs w:val="24"/>
          <w:lang w:val="en-US"/>
        </w:rPr>
        <w:br/>
      </w:r>
      <w:r w:rsidRPr="00463570">
        <w:rPr>
          <w:rFonts w:ascii="Times New Roman" w:eastAsia="Calibri" w:hAnsi="Times New Roman" w:cs="Times New Roman"/>
          <w:i/>
          <w:iCs/>
          <w:sz w:val="24"/>
          <w:szCs w:val="24"/>
          <w:lang w:val="ky-KG"/>
        </w:rPr>
        <w:t>Сиңирүү</w:t>
      </w:r>
    </w:p>
    <w:p w14:paraId="3BEFCB6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фармакокинетикалык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параметрлери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окшош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Айкалышканда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бири-биринин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фармакокинетикасына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этпейт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алынгандан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тез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толугу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сиңирилет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тамак-ашты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сиңирүү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даражасына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дээрлик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этпейт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бирок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тамактануунун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таблетканы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жакшы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сиңет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Кан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плазмасындагы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максималдуу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концентрацияга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алынгандан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жетет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максималдуу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lastRenderedPageBreak/>
        <w:t>концентрациясынын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мааниси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жараша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3-12 мкг/мл,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2 мкг/мл.</w:t>
      </w:r>
    </w:p>
    <w:p w14:paraId="795B082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Бөлүштүрүү</w:t>
      </w:r>
      <w:proofErr w:type="spellEnd"/>
    </w:p>
    <w:p w14:paraId="3455BDC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бөлүштүрүүнүн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көлөмү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мүнөздөлөт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Жалпы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плазмадагы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25%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плазмадагы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18%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протеиндер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концентрациясы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организмдин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органдарында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ткандарында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суюктуктарында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аныкталат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өпкөдө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какырыкта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ичтин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органдарында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жамбаш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органдарында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энелик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бездер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простата),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ортоңку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кулакта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алкым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бездеринде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мурундун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кошумча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кобуулдарында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баштыкчасында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майлуу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сөөк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булчуң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ткандарында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плевралык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синовиалдык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перитонеалдык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заарада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шилекейде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бронхиалдык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секрецияда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ириңдүү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агыштарда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интерстициалдык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5E58E1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мээнин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сезгенбеген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кан-мээ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тосмосуна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албайт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бала тон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тосмосу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түйүлдүккө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аныкталган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эмчек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сүтүнө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ийиздүү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концентрацияларда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84848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Зат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алмашуу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бөлүп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чыгаруу</w:t>
      </w:r>
      <w:proofErr w:type="spellEnd"/>
    </w:p>
    <w:p w14:paraId="14DE2D1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метаболиттерге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жарым-жартылай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метаболизмге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учурайт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берилген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10%),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интенсивдүү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метаболизмге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дуушар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берилген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50-70%).</w:t>
      </w:r>
    </w:p>
    <w:p w14:paraId="2A751F6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организмден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биринчи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кезекте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каналчалуу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секреция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түйдѳкчѳлүү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чыпкалоо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(7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өзгөрүлбөгөн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52±15%)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азыраак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чыгарылат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баштапкы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10-25%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бөйрөктөр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пенициллин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түрүндө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чыгарылат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428DE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түйдѳкчѳлүү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чыпкалоо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(40-65%),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жарым-жартылай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метаболиттер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түрүндө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ошондой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эле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чыгарылат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4ACEC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жартылай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мезгили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(Т1/2) 1-1,5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түзөт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(креатинин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клиренси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10-30 мл/мин)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жартылай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мезгили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7,5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4,5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көбөйөт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Анурияда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заттардын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T1/2 10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өзгөрөт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EC804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гемодиализ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өлчөмү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перитонеалдык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диализ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чыгарылат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026D5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9E0B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 xml:space="preserve">га </w:t>
      </w: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көрсөт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мөлөр</w:t>
      </w:r>
    </w:p>
    <w:p w14:paraId="6B9E060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ошондой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эле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чоңдордо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балдарда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төмөнкү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инфекцияларды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көрсөтүлгөн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85ADE1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Курч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бактериялык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синусит (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талаптагыдай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түрдѳ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диагноз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коюлган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4106E93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Курч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ортоңку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отит </w:t>
      </w:r>
    </w:p>
    <w:p w14:paraId="412D495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Өнөкөт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бронхиттин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күчөшү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талаптагыдай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түрдѳ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диагноз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коюлган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0163FD4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Ооруканадан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сырткары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пневмония</w:t>
      </w:r>
    </w:p>
    <w:p w14:paraId="73F76E3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>• Цистит</w:t>
      </w:r>
    </w:p>
    <w:p w14:paraId="764D333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>• Пиелонефрит</w:t>
      </w:r>
    </w:p>
    <w:p w14:paraId="0AB3942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Теринин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жумшак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ткандардын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инфекциялары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тактап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айтканда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астындагы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ткандардын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сезгениши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(флегмона),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жаныбарлардын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чагуусунан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жарааттар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жайылган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флегмона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тиштин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оор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абсцесси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646C8A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Сөөк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муун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инфекциялары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тактап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Cs/>
          <w:sz w:val="24"/>
          <w:szCs w:val="24"/>
        </w:rPr>
        <w:t>айтканда</w:t>
      </w:r>
      <w:proofErr w:type="spellEnd"/>
      <w:r w:rsidRPr="00463570">
        <w:rPr>
          <w:rFonts w:ascii="Times New Roman" w:eastAsia="Calibri" w:hAnsi="Times New Roman" w:cs="Times New Roman"/>
          <w:bCs/>
          <w:sz w:val="24"/>
          <w:szCs w:val="24"/>
        </w:rPr>
        <w:t xml:space="preserve"> остеомиелит</w:t>
      </w:r>
    </w:p>
    <w:p w14:paraId="048B67A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14877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Каршы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көрсөтмөлөр</w:t>
      </w:r>
      <w:proofErr w:type="spellEnd"/>
    </w:p>
    <w:p w14:paraId="759D246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ингредиенттерге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88BB8A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- башка 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мисалы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карбапенемге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монобактамга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сезгичтиктин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олуттуу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мурунку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мисалы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, анафилаксия);</w:t>
      </w:r>
    </w:p>
    <w:p w14:paraId="1336A72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- 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улам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сарык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B7FCA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573CE" w14:textId="77777777" w:rsidR="00463570" w:rsidRPr="00463570" w:rsidRDefault="00463570" w:rsidP="0046357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жолу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дозалары</w:t>
      </w:r>
      <w:proofErr w:type="spellEnd"/>
    </w:p>
    <w:p w14:paraId="6A18827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камтылуусун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чагылдырат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Конкреттүү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тандоодо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төмөнкү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факторлор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9513CBC" w14:textId="77777777" w:rsidR="00463570" w:rsidRPr="00463570" w:rsidRDefault="00463570" w:rsidP="00463570">
      <w:pPr>
        <w:spacing w:after="0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Божомолдонгон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козгогучтар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антибактериалдык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болуучу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сезгичтиги</w:t>
      </w:r>
      <w:proofErr w:type="spellEnd"/>
    </w:p>
    <w:p w14:paraId="4C93D2A9" w14:textId="77777777" w:rsidR="00463570" w:rsidRPr="00463570" w:rsidRDefault="00463570" w:rsidP="00463570">
      <w:pPr>
        <w:spacing w:after="0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оордугу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жайгашкан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жери</w:t>
      </w:r>
      <w:proofErr w:type="spellEnd"/>
    </w:p>
    <w:p w14:paraId="5E05797B" w14:textId="77777777" w:rsidR="00463570" w:rsidRPr="00463570" w:rsidRDefault="00463570" w:rsidP="00463570">
      <w:pPr>
        <w:spacing w:after="0"/>
        <w:ind w:left="284" w:firstLine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•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кѳрсѳтүлгѳн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12469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40 кг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чоңдор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1500 мг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375 мг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жалпы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40 кг аз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максималдуу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алышат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2400 мг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600 мг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барабар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2ADFB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кылынса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башка дары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формасын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тандоо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D4D5D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созулуу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узактыгы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дарылоого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жооп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аныкталат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мисалы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остеомиелит)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узагыраак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кайрадан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кароосуз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14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күндөн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болбошу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1D07C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Дене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40 кг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андан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ашык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чоңдор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балдар</w:t>
      </w:r>
      <w:proofErr w:type="spellEnd"/>
    </w:p>
    <w:p w14:paraId="2EBF3ED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таблеткадан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3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жолу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79D9D19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Дене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40 кг кем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балдар</w:t>
      </w:r>
      <w:proofErr w:type="spellEnd"/>
    </w:p>
    <w:p w14:paraId="344B3DE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Дене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40 кг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тѳмѳн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таблеткаларын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дарыгердин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ала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алышат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9317B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жолу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бөлүнгөн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20 мг/5 мг/кг/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суткасынан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60 мг/15 мг/мг/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суткасына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02B6C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6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жаштан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кичүү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25 кг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тѳмѳн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суспензиясын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артыкчылыктуу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2AD99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Улгайган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курактагы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бейтаптар</w:t>
      </w:r>
      <w:proofErr w:type="spellEnd"/>
    </w:p>
    <w:p w14:paraId="4CE9716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кылынбайт</w:t>
      </w:r>
      <w:proofErr w:type="spellEnd"/>
    </w:p>
    <w:p w14:paraId="32AF910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функциясы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бузулган</w:t>
      </w:r>
      <w:proofErr w:type="spellEnd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sz w:val="24"/>
          <w:szCs w:val="24"/>
          <w:u w:val="single"/>
        </w:rPr>
        <w:t>бейтаптар</w:t>
      </w:r>
      <w:proofErr w:type="spellEnd"/>
    </w:p>
    <w:p w14:paraId="145C480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Доза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максималдуу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жөнгө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Креатинин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клиренси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30 мл/мин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кылбайт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44507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40 кг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чоңдор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</w:p>
    <w:tbl>
      <w:tblPr>
        <w:tblStyle w:val="a3"/>
        <w:tblW w:w="0" w:type="auto"/>
        <w:tblInd w:w="102" w:type="dxa"/>
        <w:tblLook w:val="04A0" w:firstRow="1" w:lastRow="0" w:firstColumn="1" w:lastColumn="0" w:noHBand="0" w:noVBand="1"/>
      </w:tblPr>
      <w:tblGrid>
        <w:gridCol w:w="4760"/>
        <w:gridCol w:w="4766"/>
      </w:tblGrid>
      <w:tr w:rsidR="00463570" w:rsidRPr="00463570" w14:paraId="5170665A" w14:textId="77777777" w:rsidTr="009D589E">
        <w:tc>
          <w:tcPr>
            <w:tcW w:w="4760" w:type="dxa"/>
          </w:tcPr>
          <w:p w14:paraId="5ECFE535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Креатинин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клиренси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10-30 мл/мин</w:t>
            </w:r>
          </w:p>
        </w:tc>
        <w:tc>
          <w:tcPr>
            <w:tcW w:w="4766" w:type="dxa"/>
          </w:tcPr>
          <w:p w14:paraId="68990562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таблетка </w:t>
            </w:r>
          </w:p>
        </w:tc>
      </w:tr>
      <w:tr w:rsidR="00463570" w:rsidRPr="00463570" w14:paraId="1790180D" w14:textId="77777777" w:rsidTr="009D589E">
        <w:tc>
          <w:tcPr>
            <w:tcW w:w="4760" w:type="dxa"/>
          </w:tcPr>
          <w:p w14:paraId="60137E28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Креатинин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клиренси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&lt;10 мл/мин</w:t>
            </w:r>
          </w:p>
        </w:tc>
        <w:tc>
          <w:tcPr>
            <w:tcW w:w="4766" w:type="dxa"/>
          </w:tcPr>
          <w:p w14:paraId="66DBC136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таблетка</w:t>
            </w:r>
          </w:p>
        </w:tc>
      </w:tr>
      <w:tr w:rsidR="00463570" w:rsidRPr="00463570" w14:paraId="63E005D6" w14:textId="77777777" w:rsidTr="009D589E">
        <w:tc>
          <w:tcPr>
            <w:tcW w:w="4760" w:type="dxa"/>
          </w:tcPr>
          <w:p w14:paraId="0DF75FA0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Гемодиализ </w:t>
            </w:r>
          </w:p>
        </w:tc>
        <w:tc>
          <w:tcPr>
            <w:tcW w:w="4766" w:type="dxa"/>
          </w:tcPr>
          <w:p w14:paraId="661C39BD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саат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таблеткадан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диализ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учурунда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500/</w:t>
            </w:r>
            <w:proofErr w:type="gram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жана</w:t>
            </w:r>
            <w:proofErr w:type="spellEnd"/>
            <w:proofErr w:type="gram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диализдин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аягында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ушундай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доза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кошуу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анткени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диализ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учурунда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амоксициллин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клавулан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кислотасынын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сарысуудагы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концентрациясы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тѳмѳндѳйт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44CDE7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Дене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салмагы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40 кг кем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</w:p>
    <w:tbl>
      <w:tblPr>
        <w:tblStyle w:val="a3"/>
        <w:tblW w:w="9526" w:type="dxa"/>
        <w:tblInd w:w="102" w:type="dxa"/>
        <w:tblLook w:val="04A0" w:firstRow="1" w:lastRow="0" w:firstColumn="1" w:lastColumn="0" w:noHBand="0" w:noVBand="1"/>
      </w:tblPr>
      <w:tblGrid>
        <w:gridCol w:w="4763"/>
        <w:gridCol w:w="4763"/>
      </w:tblGrid>
      <w:tr w:rsidR="00463570" w:rsidRPr="00463570" w14:paraId="3C8DEE29" w14:textId="77777777" w:rsidTr="009D589E">
        <w:tc>
          <w:tcPr>
            <w:tcW w:w="4763" w:type="dxa"/>
          </w:tcPr>
          <w:p w14:paraId="33FEB759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Креатинин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клиренси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10-30 мл/мин</w:t>
            </w:r>
          </w:p>
        </w:tc>
        <w:tc>
          <w:tcPr>
            <w:tcW w:w="4763" w:type="dxa"/>
          </w:tcPr>
          <w:p w14:paraId="4DCC9571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мг/3,75 мг/кг (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максималдуу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мг/125 мг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570" w:rsidRPr="00463570" w14:paraId="1696C89D" w14:textId="77777777" w:rsidTr="009D589E">
        <w:tc>
          <w:tcPr>
            <w:tcW w:w="4763" w:type="dxa"/>
          </w:tcPr>
          <w:p w14:paraId="2BF67A21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Креатинин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клиренси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&lt;10 мл/мин</w:t>
            </w:r>
          </w:p>
        </w:tc>
        <w:tc>
          <w:tcPr>
            <w:tcW w:w="4763" w:type="dxa"/>
          </w:tcPr>
          <w:p w14:paraId="29B818A9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мг/3,75 мг/кг (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максималдуу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мг/125 мг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63570" w:rsidRPr="00463570" w14:paraId="1996675E" w14:textId="77777777" w:rsidTr="009D589E">
        <w:tc>
          <w:tcPr>
            <w:tcW w:w="4763" w:type="dxa"/>
          </w:tcPr>
          <w:p w14:paraId="319AF1DF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Гемодиализ </w:t>
            </w:r>
          </w:p>
        </w:tc>
        <w:tc>
          <w:tcPr>
            <w:tcW w:w="4763" w:type="dxa"/>
          </w:tcPr>
          <w:p w14:paraId="203DD2C1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Суткасына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жолу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мг/3,75 мг/кг </w:t>
            </w:r>
          </w:p>
          <w:p w14:paraId="7ECAE850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Гемодиализ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мг/3,75 мг/кг. </w:t>
            </w:r>
          </w:p>
          <w:p w14:paraId="493F39BA" w14:textId="77777777" w:rsidR="00463570" w:rsidRPr="00463570" w:rsidRDefault="00463570" w:rsidP="00463570">
            <w:pPr>
              <w:widowControl w:val="0"/>
              <w:ind w:right="2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Гемодиализден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кийин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кандагы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препараттын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тиешелүү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концентрациясын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калыбына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келтирүү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үчүн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дагы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мг/3,75 мг/кг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дозасын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кабыл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алуу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4635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084FF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0E09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</w:t>
      </w:r>
      <w:proofErr w:type="spellEnd"/>
    </w:p>
    <w:p w14:paraId="12E4F89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Этияттык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Үзгүлтүксүз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кѳзѳмѳлдѳп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зарыл. </w:t>
      </w:r>
    </w:p>
    <w:p w14:paraId="75219CE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жолу</w:t>
      </w:r>
      <w:proofErr w:type="spellEnd"/>
    </w:p>
    <w:p w14:paraId="258C76C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Тамактануунун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стакан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B465E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куюу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ылайык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парентералдык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баштоого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препарат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улантуу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B68465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сиз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кезектеги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өткөрүп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жиберсеңиз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эсиңизге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алыңыз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мурун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эле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дегенде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4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өтүшү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Өткөрүлгөн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толтуруу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эсеге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көбөйтүүгө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болбойт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1EDF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3A77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Ѳзгѳчѳ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көрсөтмөлөр</w:t>
      </w:r>
      <w:proofErr w:type="spellEnd"/>
    </w:p>
    <w:p w14:paraId="620CBF5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Антибактериалдык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каражаттарды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расмий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көрсөтмөлөрдү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16875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баштоодон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мурун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башка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беталактамдык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болуусун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текшерүү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таржымалы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кылдат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53CB2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Пенициллин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олуттуу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кээде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өлүмгө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анафилактоиддик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таржымалында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атопия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ыктымал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аллергиялык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реакция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препараты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токтотулуп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ордуна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башка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ылайыктуу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бактерияга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дайындалат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A6A01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ушул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сезгичтигин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расмий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көрсөтмөлөргө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ылайык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58804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ингибирлѳѳчү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лактамазалар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шартталбаган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болжолдолгон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козгогучтардын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сезгичтүүлүгү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резистенттүүлүгү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тѳмѳн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кооптуулук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болбойт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туруктуу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S.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pneumoniae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шартталган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болбойт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3DE92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карышуу</w:t>
      </w:r>
      <w:proofErr w:type="spellEnd"/>
      <w:proofErr w:type="gram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(«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Кыйыр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бѳлүмүн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караңыз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712744D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жугуштуу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мононуклеозго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шек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оолак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анткени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кызылчага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окшогон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исиркектер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A885EE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аллопуринолду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аллергиялык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ыктымалдыгын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жогорулатат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AE386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мөөнөттүү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көбөйүшүнө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B6E23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башталышында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калтырак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басуу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пустула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жалпыланган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эритеманын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өнүгүшү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жалпыланган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экзантематоздук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пустулоздун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потенциалдуу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симптому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саналат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Мындай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реакция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көрсөтмө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саналат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11628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этияттык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жүргүзүлөт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FD82E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негизинен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эркектерде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улгайган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курактагы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мөөнөттүн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аралыгында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proofErr w:type="gram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391B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окуялар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Бардык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топторунда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адатта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болот, бирок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токтогондон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нече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жумага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</w:p>
    <w:p w14:paraId="6E48E87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адатта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кайтарымдуу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мүнѳзгѳ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жагымсызтаасирлери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ѳлүм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жыйынтыгы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кабарланган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дээрлик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дайым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олуттуу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боорго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зыян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келтире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өнүккөн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Антибиотик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колиттин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дээрлик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антибактериалдык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бардыгындын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бардыгында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оордугу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жеңилден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өмүргө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коркунуч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туудурганга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өзгөрүшү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Ошондуктан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диагнозду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антибиотик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курсу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аяктагандан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диарея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маанилүү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колит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дарыгерге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кайрылып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тиешелүү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баштоо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ичегинин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толкун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сымал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кыймылын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токтотуучу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proofErr w:type="gram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кѳрсѳтүлѳт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мөөнөттүү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орган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системаларынын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бөйрөктүн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гемопоэздин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мезгил-мезгили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берүү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7E0C4EF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Антикоагулянттарды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уюу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ылдамдыгына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талаптагыдай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мониторинг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жүргүзүү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протромбиндик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убакыттын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узартылышы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Күтүлгѳн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антикоагуляция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деңгээлине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пероралдык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коагулянттардын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3F2DA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даражасына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ылайык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("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жолу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"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бѳлүмүн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караңыз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47C84A1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Диурези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азайган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кристаллурия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заарадагы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туздардын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кристаллдашы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негизинен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парентералдык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фонунда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кристаллурия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ыктымалдыгын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азайтуу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жетиштүү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кѳлѳмдѳгү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суюктукту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зааранын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адекваттуу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чыгышын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Табарсыкка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катетери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орнотулган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ѳткѳрүмдүүлүгүн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дайыма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көзөмөлдөп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Заарадагы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глюкозанын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деңгээлин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глюкоза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оксидазасы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ферменттик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ыкмаларды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анткени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ферменттик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ыкмалар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кээде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туура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натыйжаларды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берет.</w:t>
      </w:r>
    </w:p>
    <w:p w14:paraId="69CF6B6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IgG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альбуминдин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эритроцит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мембраналары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спецификалык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Кумбс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сынамынын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натыйжаларын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587C2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Aspergillus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ферментине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иммуносорбенттик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анализдин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(ИФА)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жалган-оң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натыйжалары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Аспергиллездик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полисахариддер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полифуранозамдар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кайчылаш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реакция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Aspergillus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га </w:t>
      </w:r>
      <w:r w:rsidRPr="0046357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ИФА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тестинин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чегинде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белгиленген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Джойклавды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тесттердин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натыйжалары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этияттык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чечмеленүүгө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башка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диагностикалык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ыкмалар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ырасталууга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тийиш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EA0ACC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2283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Кош </w:t>
      </w: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бойлуулук</w:t>
      </w:r>
      <w:proofErr w:type="spellEnd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эмчек</w:t>
      </w:r>
      <w:proofErr w:type="spellEnd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/>
          <w:sz w:val="24"/>
          <w:szCs w:val="24"/>
        </w:rPr>
        <w:t>эмизүү</w:t>
      </w:r>
      <w:proofErr w:type="spellEnd"/>
    </w:p>
    <w:p w14:paraId="149E77F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Кош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бойлуулук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Жаныбарларга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жасалган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изилдөөлөр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кош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бойлуулукка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эмбриондук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/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түйүлдүктүн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өнүгүүсүнө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төрөттөн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өнүгүүгө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кыйыр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көрсөтпөйт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Адамдарда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кош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бойлуу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кезде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чектелген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маалыматтар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тубаса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кемтиктердин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коркунучун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билдирбейт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Түйүлдүк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чел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кабыгынын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мөөнөтүнөн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мурда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аялдарга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жүргүзүлгөн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изилдөөлөрдүн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алуучу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жаңы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төрөлгөн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ымыркайларда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некротиздик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энтероколиттик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коркунучунун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болуусуну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жогорулоосу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экенин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E6DF7D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Бала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эмизүү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зат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тең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эмчек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сүтү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бөлүнүп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ымыркайга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тийгизген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жөнүндө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маалымат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ары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эмчек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ымыркайларда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диарея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былжыр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челдин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мите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козу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карындык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инфекциясы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эмизүүнү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Сенсибилизациялоо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мүмкүнчүлүгүн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эске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Дарыгер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тобокелдик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катышына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жүргүзүлгѳндѳн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бала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эмизүү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учурунда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CA6951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F3743A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Транспорт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каражаттарын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механизмдерди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башкаруу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жөндөмдүүлүгүнө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тийгизген</w:t>
      </w:r>
      <w:proofErr w:type="spellEnd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iCs/>
          <w:sz w:val="24"/>
          <w:szCs w:val="24"/>
        </w:rPr>
        <w:t>таасири</w:t>
      </w:r>
      <w:proofErr w:type="spellEnd"/>
    </w:p>
    <w:p w14:paraId="262C62C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Препарат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психомотордук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ылдамдыгына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кѳңүл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бѳлүү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концентрациясына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тийгизбейт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D6036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4C2B41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Кыйыр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>таасирлери</w:t>
      </w:r>
      <w:proofErr w:type="spellEnd"/>
    </w:p>
    <w:p w14:paraId="25242AF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Кыйыр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жыштыгын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классификациялоо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үчүн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төмөнкү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категориялар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тез-тез (≥1/10), тез-тез (≥1/100дөн &lt;1/10го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кѳп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(≥1/1000ден &lt;1/100гө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(≥1/10,000ден &lt;1/1000ге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өтө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(&lt;1/10,000),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жыштык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(бар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маалыматтардын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баалоо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792059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тез-тез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кездешкен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диарея,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айлануу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кусуу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EDA8A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Жугуштуу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мите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курт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оорулары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336CFCD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Тез-тез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былжыр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челдин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кандидозу.</w:t>
      </w:r>
    </w:p>
    <w:p w14:paraId="772CB7F1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сезгич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микроорганизмдердин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көбөйүшү</w:t>
      </w:r>
      <w:proofErr w:type="spellEnd"/>
    </w:p>
    <w:p w14:paraId="099991B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Кан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лимфа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системасы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6377C20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кайтарымдуу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лейкопения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нейтропения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), тромбоцитопения.</w:t>
      </w:r>
    </w:p>
    <w:p w14:paraId="045AF79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кайтарымдуу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агранулоцитоз,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гемолитикалык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кандуулук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0D7F63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убактысы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протромбиндик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убакыттын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узаруусу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0CE6C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Иммундук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система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51FE61D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ангионевротикалык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шишимик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анафилаксия,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сарысууга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окшош</w:t>
      </w:r>
      <w:proofErr w:type="spellEnd"/>
    </w:p>
    <w:p w14:paraId="26FC777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синдрому,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аллергиялык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васкулит.</w:t>
      </w:r>
    </w:p>
    <w:p w14:paraId="3E80859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Нерв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системасы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6392F9B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Кѳп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баш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айлануу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баш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83540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кайтарымдуу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гиперактивдүүлүк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карышуу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B42E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Ашказан-ичеги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жолу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5982276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Абдан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тез-тез: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ѳтүү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2F7170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Тез-тез: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жүрөк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айлануу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адатта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препаратты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тамактануунун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башында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алынса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ашказан-ичеги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реакцияларын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азайтууга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болот),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кусуу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1FD01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Кѳп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сиңирүүнүн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80079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байланышкан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колит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псевдомембраноздук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колит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геморрагиялык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колит, "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Ѳзгѳчѳ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көрсөтмөлөр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"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бөлүмүн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караңыз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), "кара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түктүү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"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тил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B0B70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Боордун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өт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жолдору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636B3D38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Кѳп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AСT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/же AЛT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деңгээли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жогорулоосу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(бета-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лактамдык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классындагы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орточо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бирок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байкоолордун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маанилүүлүгү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241882D5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гепатит,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холестатикалык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сарык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жагымсыз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таасирлер</w:t>
      </w:r>
      <w:proofErr w:type="spellEnd"/>
    </w:p>
    <w:p w14:paraId="5B5FF80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башка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цефалоспориндерди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байкалган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63570">
        <w:rPr>
          <w:rFonts w:ascii="Times New Roman" w:eastAsia="Calibri" w:hAnsi="Times New Roman" w:cs="Times New Roman"/>
          <w:sz w:val="24"/>
          <w:szCs w:val="24"/>
          <w:lang w:val="ky-KG"/>
        </w:rPr>
        <w:t>“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Ѳзгѳчѳ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көрсөтмөлөр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lang w:val="ky-KG"/>
        </w:rPr>
        <w:t>”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бөлүмүн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караңыз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BBAE56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астындагы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ткандар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1C00925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кандайдыр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аллергиялык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FAE43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Кѳп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исиркектери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кычышуу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бѳрү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жатыш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126FF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Сейрек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формалуу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эритема.</w:t>
      </w:r>
    </w:p>
    <w:p w14:paraId="7E5F44D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Стивенс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-Джонсон синдрому,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уулуу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эпидермалдык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некролиз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буллездуу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эксфолиативдик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дерматит,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курч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генерализацияланган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экзантематоздук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пустулоз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эозинофилия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системалык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симптомдор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коштолгон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дары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реакциясы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(DRESS синдрому).</w:t>
      </w:r>
    </w:p>
    <w:p w14:paraId="27E065E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заара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чыгаруу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жолдору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  <w:u w:val="single"/>
        </w:rPr>
        <w:t>бузулуулар</w:t>
      </w:r>
      <w:proofErr w:type="spellEnd"/>
    </w:p>
    <w:p w14:paraId="66B18C7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Жыштыгы</w:t>
      </w:r>
      <w:proofErr w:type="spellEnd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i/>
          <w:iCs/>
          <w:sz w:val="24"/>
          <w:szCs w:val="24"/>
        </w:rPr>
        <w:t>белгисиз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интерстициалдык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нефрит,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кристаллурия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6639EC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C8EF4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Дарылардын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өз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ара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таасирденүүсү</w:t>
      </w:r>
      <w:proofErr w:type="spellEnd"/>
    </w:p>
    <w:p w14:paraId="5790106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Пероралдык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антикоагулянттар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пероралдык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антикоагулянттар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антибиотиктери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тажрыйбада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кеңири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ара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таасирденүүсү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жөнүндө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билдирүүлөр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Бирок,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адабияттарда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аценокумарол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варфарин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курсу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белгиленген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нормалдаштырылган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жогорулаган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белгиленген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Эгерде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паралелдүү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болсо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кошулганда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токтотулганда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протромбиндик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убакыт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эл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нормалдаштырылган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катышы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кылдат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текшерилиши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Мындан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тышкары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пероралдык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антикоагулянттардын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жөнгө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D2B75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Метотрексат: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Пенициллиндер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метотрексаттын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экскрециясын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азайтып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потенциалдуу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уулуулугун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жогорулатат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D0F9C5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Пробенецид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Пробенецидди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убакта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сунушталбайт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Пробенецид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каналчалуу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секрециясын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азайтат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Пробенецидди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паралелдүү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кандагы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деңгээлинин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жогорулашына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узакка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созулушуна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бирок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эмес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2143B2" w14:textId="04415B1D" w:rsid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Микофенолат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мофетил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микофенолат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мофетилди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активдүү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метаболит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микофенол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(МРА)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чейинки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концентрациялары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+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пероралдуу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алгандан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болжол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50% га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төмөндөгөн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Деңгээлдин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өзгөрүшү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жалпы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MPA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таасирденүүсүндѳ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өзгөрүүлөрдү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так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чагылдырат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Мындан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улам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айкалыштырылган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антибиотик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аяктагандан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нече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убакытка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чейин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кылдат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клиникалык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мониторинг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талап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кылынат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5111A5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495EC0" w14:textId="77777777" w:rsid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897BC5" w14:textId="77777777" w:rsid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2EE599" w14:textId="6EC4CA15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Ашыкча</w:t>
      </w:r>
      <w:proofErr w:type="spellEnd"/>
      <w:r w:rsidRPr="004635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доза</w:t>
      </w:r>
    </w:p>
    <w:p w14:paraId="5B2AE1A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Ашыкча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дозанын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белгилери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АИЖ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электролиттик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баланстын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бузулуусу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Амоксициллинди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колдонуудан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улам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кристаллурия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ал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кээ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учурларда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алсыздыгына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алып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келиши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1F403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Карышуулар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бөйрөк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функциясы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бузулган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бейтаптарда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же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алууда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пайда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болушу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мүмкүн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Негизинен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жогорку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дозаларды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тамыр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ичине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куюдан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кийин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амоксициллин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табарсыктагы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катетерде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топтолот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Катетердин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ачык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абалын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дайыма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текшерип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зарыл.</w:t>
      </w:r>
    </w:p>
    <w:p w14:paraId="24EF96E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Уулууланууну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Ашказан-ичеги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симптомдору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суюктук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электролит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балансына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көңүл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буруу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симптоматикалык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түрдө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дарыласа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болот.</w:t>
      </w:r>
    </w:p>
    <w:p w14:paraId="167D381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Амоксициллин/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клавулан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кислотасын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гемодиализ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аркылуу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айлануудан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чыгарууга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болот.</w:t>
      </w:r>
    </w:p>
    <w:p w14:paraId="5CDCD2B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BCD6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Чыгаруу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формасы</w:t>
      </w:r>
      <w:proofErr w:type="spellEnd"/>
    </w:p>
    <w:p w14:paraId="7454DBD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ДЖОЙКЛАВ-625.</w:t>
      </w:r>
    </w:p>
    <w:p w14:paraId="768289A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Жука чел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кабык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капталган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таблеткалар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10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таблеткадан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Алю-Алю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блистердик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таңгакчада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1 блистер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нускамасы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менен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бирге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картон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кутучага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салынган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E73DCF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3AF0F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Сактоо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шарттары</w:t>
      </w:r>
      <w:proofErr w:type="spellEnd"/>
    </w:p>
    <w:p w14:paraId="323AE12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Кургак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жарыктан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корголгон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25ºС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ашпаган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аба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табында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сактоо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керек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7DBD86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Балдар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жетпеген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жерде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сактоо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зарыл.</w:t>
      </w:r>
    </w:p>
    <w:p w14:paraId="6809B55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EC73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Жарактуулук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мѳѳнѳтү</w:t>
      </w:r>
      <w:proofErr w:type="spellEnd"/>
    </w:p>
    <w:p w14:paraId="35AD3F14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24 ай.</w:t>
      </w:r>
    </w:p>
    <w:p w14:paraId="5259C1A6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66DFE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Дарыканалардан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берүүнүн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шарттары</w:t>
      </w:r>
      <w:proofErr w:type="spellEnd"/>
    </w:p>
    <w:p w14:paraId="7DA8C8FB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Рецепт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боюнча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332F2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A3FF31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Каттоо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күбѳлүгүнүн</w:t>
      </w:r>
      <w:proofErr w:type="spellEnd"/>
      <w:r w:rsidRPr="0046357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ээси</w:t>
      </w:r>
      <w:proofErr w:type="spellEnd"/>
    </w:p>
    <w:p w14:paraId="238204D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UNOSOURCE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PHARMA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LTD</w:t>
      </w:r>
      <w:r w:rsidRPr="0046357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FFB63E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503/504, 5-кабат,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Hubtown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Solaris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5FF4D1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Н.С.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Фадке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Марг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Андхери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Чыгыш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E3CC8F7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Мумбай-400069, Индия.</w:t>
      </w:r>
    </w:p>
    <w:p w14:paraId="4CF67742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FC6A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b/>
          <w:sz w:val="24"/>
          <w:szCs w:val="24"/>
        </w:rPr>
        <w:t>Өндүрүүчү</w:t>
      </w:r>
      <w:proofErr w:type="spellEnd"/>
    </w:p>
    <w:p w14:paraId="7F653563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MALIK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LIFECINCES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PVT</w:t>
      </w:r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63570">
        <w:rPr>
          <w:rFonts w:ascii="Times New Roman" w:eastAsia="Calibri" w:hAnsi="Times New Roman" w:cs="Times New Roman"/>
          <w:sz w:val="24"/>
          <w:szCs w:val="24"/>
          <w:lang w:val="en-US"/>
        </w:rPr>
        <w:t>LTD</w:t>
      </w:r>
    </w:p>
    <w:p w14:paraId="68BE10B9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3570">
        <w:rPr>
          <w:rFonts w:ascii="Times New Roman" w:eastAsia="Calibri" w:hAnsi="Times New Roman" w:cs="Times New Roman"/>
          <w:sz w:val="24"/>
          <w:szCs w:val="24"/>
        </w:rPr>
        <w:t>Уттаракханд, Харидвар-247667,</w:t>
      </w:r>
    </w:p>
    <w:p w14:paraId="5E94697D" w14:textId="77777777" w:rsidR="00463570" w:rsidRPr="00463570" w:rsidRDefault="00463570" w:rsidP="00463570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Вардхман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өнөр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жай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3570">
        <w:rPr>
          <w:rFonts w:ascii="Times New Roman" w:eastAsia="Calibri" w:hAnsi="Times New Roman" w:cs="Times New Roman"/>
          <w:sz w:val="24"/>
          <w:szCs w:val="24"/>
        </w:rPr>
        <w:t>аянты</w:t>
      </w:r>
      <w:proofErr w:type="spellEnd"/>
      <w:r w:rsidRPr="00463570">
        <w:rPr>
          <w:rFonts w:ascii="Times New Roman" w:eastAsia="Calibri" w:hAnsi="Times New Roman" w:cs="Times New Roman"/>
          <w:sz w:val="24"/>
          <w:szCs w:val="24"/>
        </w:rPr>
        <w:t>, Участок-16, Индия.</w:t>
      </w:r>
    </w:p>
    <w:p w14:paraId="7E9FC9E8" w14:textId="77777777" w:rsidR="00463570" w:rsidRPr="00463570" w:rsidRDefault="00463570" w:rsidP="00463570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5311BFE4" w14:textId="77777777" w:rsidR="00463570" w:rsidRPr="00463570" w:rsidRDefault="00463570" w:rsidP="00463570">
      <w:pPr>
        <w:rPr>
          <w:rFonts w:ascii="Calibri" w:eastAsia="Calibri" w:hAnsi="Calibri" w:cs="Times New Roman"/>
        </w:rPr>
      </w:pPr>
    </w:p>
    <w:sectPr w:rsidR="00463570" w:rsidRPr="00463570" w:rsidSect="00C16821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AB"/>
    <w:rsid w:val="00180CD3"/>
    <w:rsid w:val="00204803"/>
    <w:rsid w:val="00463570"/>
    <w:rsid w:val="009E594B"/>
    <w:rsid w:val="00A73B62"/>
    <w:rsid w:val="00BC5D97"/>
    <w:rsid w:val="00C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7C58"/>
  <w15:chartTrackingRefBased/>
  <w15:docId w15:val="{3B9CA70D-2B7F-4B88-A7D7-5F1E14D2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3585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2024-08-14T08:26:00Z</cp:lastPrinted>
  <dcterms:created xsi:type="dcterms:W3CDTF">2024-08-14T08:23:00Z</dcterms:created>
  <dcterms:modified xsi:type="dcterms:W3CDTF">2024-08-14T08:44:00Z</dcterms:modified>
</cp:coreProperties>
</file>