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BAA2A" w14:textId="77777777" w:rsidR="002D4B6A" w:rsidRDefault="00AB0766">
      <w:pPr>
        <w:spacing w:line="1" w:lineRule="exact"/>
      </w:pPr>
      <w:r>
        <w:rPr>
          <w:noProof/>
          <w:lang w:bidi="ar-SA"/>
        </w:rPr>
        <mc:AlternateContent>
          <mc:Choice Requires="wps">
            <w:drawing>
              <wp:anchor distT="0" distB="0" distL="114300" distR="114300" simplePos="0" relativeHeight="2" behindDoc="1" locked="0" layoutInCell="1" allowOverlap="1" wp14:anchorId="00DBC599" wp14:editId="0A383AE7">
                <wp:simplePos x="0" y="0"/>
                <wp:positionH relativeFrom="page">
                  <wp:posOffset>0</wp:posOffset>
                </wp:positionH>
                <wp:positionV relativeFrom="page">
                  <wp:posOffset>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AF9FD"/>
                        </a:solidFill>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1DB109" id="Shape 1" o:spid="_x0000_s1026" style="position:absolute;margin-left:0;margin-top:0;width:595pt;height:842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" fillcolor="#faf9fd" stroked="f">
                <o:lock v:ext="edit" rotation="t" position="t"/>
                <w10:wrap anchorx="page" anchory="page"/>
              </v:rect>
            </w:pict>
          </mc:Fallback>
        </mc:AlternateContent>
      </w:r>
    </w:p>
    <w:p w14:paraId="7C4BC2FA" w14:textId="77777777" w:rsidR="002D4B6A" w:rsidRDefault="00AB0766">
      <w:pPr>
        <w:pStyle w:val="1"/>
        <w:spacing w:before="4020" w:after="620" w:line="300" w:lineRule="auto"/>
        <w:jc w:val="center"/>
      </w:pPr>
      <w:r>
        <w:rPr>
          <w:b/>
          <w:bCs/>
          <w:color w:val="433F44"/>
        </w:rPr>
        <w:t>ДАРЫ КАРАЖАТЫН МЕДИЦИНАДА КОЛДОНУУ БОЮНЧА</w:t>
      </w:r>
      <w:r>
        <w:rPr>
          <w:b/>
          <w:bCs/>
          <w:color w:val="433F44"/>
        </w:rPr>
        <w:br/>
        <w:t>НУСКАМА</w:t>
      </w:r>
    </w:p>
    <w:p w14:paraId="0183FA18" w14:textId="77777777" w:rsidR="002D4B6A" w:rsidRDefault="00AB0766">
      <w:pPr>
        <w:pStyle w:val="1"/>
        <w:spacing w:after="620" w:line="305" w:lineRule="auto"/>
        <w:jc w:val="center"/>
      </w:pPr>
      <w:r>
        <w:rPr>
          <w:b/>
          <w:bCs/>
          <w:color w:val="433F44"/>
        </w:rPr>
        <w:t>ИЗО-МИК</w:t>
      </w:r>
      <w:r>
        <w:rPr>
          <w:b/>
          <w:bCs/>
          <w:color w:val="433F44"/>
        </w:rPr>
        <w:br/>
      </w:r>
      <w:r>
        <w:rPr>
          <w:b/>
          <w:bCs/>
          <w:color w:val="433F44"/>
          <w:lang w:val="la-Latn" w:eastAsia="la-Latn" w:bidi="la-Latn"/>
        </w:rPr>
        <w:t>(ISO-MIK)</w:t>
      </w:r>
    </w:p>
    <w:p w14:paraId="3F1E1534" w14:textId="77777777" w:rsidR="002D4B6A" w:rsidRDefault="00AB0766">
      <w:pPr>
        <w:pStyle w:val="11"/>
        <w:keepNext/>
        <w:keepLines/>
        <w:spacing w:after="40" w:line="240" w:lineRule="auto"/>
      </w:pPr>
      <w:bookmarkStart w:id="0" w:name="bookmark0"/>
      <w:r>
        <w:rPr>
          <w:color w:val="433F44"/>
        </w:rPr>
        <w:t>Соодадагы аталышы</w:t>
      </w:r>
      <w:bookmarkEnd w:id="0"/>
    </w:p>
    <w:p w14:paraId="0020455C" w14:textId="77777777" w:rsidR="002D4B6A" w:rsidRDefault="00AB0766">
      <w:pPr>
        <w:pStyle w:val="1"/>
        <w:spacing w:after="380" w:line="240" w:lineRule="auto"/>
      </w:pPr>
      <w:r>
        <w:rPr>
          <w:color w:val="433F44"/>
        </w:rPr>
        <w:t>Изо-Мик</w:t>
      </w:r>
    </w:p>
    <w:p w14:paraId="711194B7" w14:textId="77777777" w:rsidR="002D4B6A" w:rsidRDefault="00AB0766">
      <w:pPr>
        <w:pStyle w:val="11"/>
        <w:keepNext/>
        <w:keepLines/>
        <w:spacing w:after="40" w:line="240" w:lineRule="auto"/>
      </w:pPr>
      <w:bookmarkStart w:id="1" w:name="bookmark2"/>
      <w:r>
        <w:rPr>
          <w:color w:val="433F44"/>
        </w:rPr>
        <w:t>Эл аралык патенттелбеген аталышы</w:t>
      </w:r>
      <w:bookmarkEnd w:id="1"/>
    </w:p>
    <w:p w14:paraId="4A831676" w14:textId="77777777" w:rsidR="002D4B6A" w:rsidRDefault="00AB0766">
      <w:pPr>
        <w:pStyle w:val="1"/>
        <w:spacing w:after="380" w:line="240" w:lineRule="auto"/>
      </w:pPr>
      <w:r>
        <w:rPr>
          <w:color w:val="433F44"/>
        </w:rPr>
        <w:t>Изосорбид динитрат</w:t>
      </w:r>
    </w:p>
    <w:p w14:paraId="220176F9" w14:textId="77777777" w:rsidR="002D4B6A" w:rsidRDefault="00AB0766">
      <w:pPr>
        <w:pStyle w:val="11"/>
        <w:keepNext/>
        <w:keepLines/>
        <w:spacing w:after="40" w:line="240" w:lineRule="auto"/>
      </w:pPr>
      <w:bookmarkStart w:id="2" w:name="bookmark4"/>
      <w:r>
        <w:rPr>
          <w:color w:val="433F44"/>
        </w:rPr>
        <w:t>Курамы</w:t>
      </w:r>
      <w:bookmarkEnd w:id="2"/>
    </w:p>
    <w:p w14:paraId="2D3DFA96" w14:textId="77777777" w:rsidR="002D4B6A" w:rsidRDefault="00AB0766">
      <w:pPr>
        <w:pStyle w:val="1"/>
        <w:spacing w:after="40" w:line="240" w:lineRule="auto"/>
      </w:pPr>
      <w:r>
        <w:rPr>
          <w:i/>
          <w:iCs/>
          <w:color w:val="433F44"/>
        </w:rPr>
        <w:t xml:space="preserve">таасир </w:t>
      </w:r>
      <w:r>
        <w:rPr>
          <w:i/>
          <w:iCs/>
          <w:color w:val="433F44"/>
          <w:lang w:val="ky" w:eastAsia="ky" w:bidi="ky"/>
        </w:rPr>
        <w:t xml:space="preserve">берүүчү </w:t>
      </w:r>
      <w:r>
        <w:rPr>
          <w:i/>
          <w:iCs/>
          <w:color w:val="433F44"/>
        </w:rPr>
        <w:t>зат:</w:t>
      </w:r>
      <w:r>
        <w:rPr>
          <w:color w:val="433F44"/>
        </w:rPr>
        <w:t xml:space="preserve"> изосорбид динитрат;</w:t>
      </w:r>
    </w:p>
    <w:p w14:paraId="3DC314F3" w14:textId="77777777" w:rsidR="002D4B6A" w:rsidRDefault="00AB0766">
      <w:pPr>
        <w:pStyle w:val="1"/>
        <w:spacing w:after="40" w:line="240" w:lineRule="auto"/>
      </w:pPr>
      <w:r>
        <w:rPr>
          <w:color w:val="433F44"/>
        </w:rPr>
        <w:t>1 мл концентрат 1 мг изосорбид динитрат камтыйт;</w:t>
      </w:r>
    </w:p>
    <w:p w14:paraId="00077A8F" w14:textId="77777777" w:rsidR="002D4B6A" w:rsidRDefault="00AB0766">
      <w:pPr>
        <w:pStyle w:val="1"/>
        <w:spacing w:after="380" w:line="240" w:lineRule="auto"/>
      </w:pPr>
      <w:r>
        <w:rPr>
          <w:i/>
          <w:iCs/>
          <w:color w:val="433F44"/>
          <w:lang w:val="ky" w:eastAsia="ky" w:bidi="ky"/>
        </w:rPr>
        <w:t xml:space="preserve">көмөкчү </w:t>
      </w:r>
      <w:r>
        <w:rPr>
          <w:i/>
          <w:iCs/>
          <w:color w:val="433F44"/>
        </w:rPr>
        <w:t>заттар:</w:t>
      </w:r>
      <w:r>
        <w:rPr>
          <w:color w:val="433F44"/>
        </w:rPr>
        <w:t xml:space="preserve"> натрий хлориди, инъекция </w:t>
      </w:r>
      <w:r>
        <w:rPr>
          <w:color w:val="433F44"/>
          <w:lang w:val="ky" w:eastAsia="ky" w:bidi="ky"/>
        </w:rPr>
        <w:t xml:space="preserve">үчүн </w:t>
      </w:r>
      <w:r>
        <w:rPr>
          <w:color w:val="433F44"/>
        </w:rPr>
        <w:t>суу.</w:t>
      </w:r>
    </w:p>
    <w:p w14:paraId="39F56FFB" w14:textId="77777777" w:rsidR="002D4B6A" w:rsidRDefault="00AB0766">
      <w:pPr>
        <w:pStyle w:val="11"/>
        <w:keepNext/>
        <w:keepLines/>
        <w:spacing w:after="40" w:line="240" w:lineRule="auto"/>
      </w:pPr>
      <w:bookmarkStart w:id="3" w:name="bookmark6"/>
      <w:r>
        <w:rPr>
          <w:color w:val="433F44"/>
        </w:rPr>
        <w:t xml:space="preserve">Дарынын </w:t>
      </w:r>
      <w:r>
        <w:rPr>
          <w:color w:val="433F44"/>
          <w:lang w:val="ky" w:eastAsia="ky" w:bidi="ky"/>
        </w:rPr>
        <w:t>түрү</w:t>
      </w:r>
      <w:bookmarkEnd w:id="3"/>
    </w:p>
    <w:p w14:paraId="17D5B439" w14:textId="77777777" w:rsidR="002D4B6A" w:rsidRDefault="00AB0766">
      <w:pPr>
        <w:pStyle w:val="1"/>
        <w:spacing w:after="380" w:line="240" w:lineRule="auto"/>
      </w:pPr>
      <w:r>
        <w:rPr>
          <w:color w:val="433F44"/>
        </w:rPr>
        <w:t xml:space="preserve">Инфузия </w:t>
      </w:r>
      <w:r>
        <w:rPr>
          <w:color w:val="433F44"/>
          <w:lang w:val="ky" w:eastAsia="ky" w:bidi="ky"/>
        </w:rPr>
        <w:t xml:space="preserve">үчүн </w:t>
      </w:r>
      <w:r>
        <w:rPr>
          <w:color w:val="433F44"/>
        </w:rPr>
        <w:t xml:space="preserve">эритме </w:t>
      </w:r>
      <w:r>
        <w:rPr>
          <w:color w:val="433F44"/>
          <w:lang w:val="ky" w:eastAsia="ky" w:bidi="ky"/>
        </w:rPr>
        <w:t xml:space="preserve">үчүн </w:t>
      </w:r>
      <w:r>
        <w:rPr>
          <w:color w:val="433F44"/>
        </w:rPr>
        <w:t>концентрат.</w:t>
      </w:r>
    </w:p>
    <w:p w14:paraId="7C6FAD1E" w14:textId="77777777" w:rsidR="002D4B6A" w:rsidRDefault="00AB0766">
      <w:pPr>
        <w:pStyle w:val="11"/>
        <w:keepNext/>
        <w:keepLines/>
        <w:spacing w:after="40" w:line="240" w:lineRule="auto"/>
      </w:pPr>
      <w:bookmarkStart w:id="4" w:name="bookmark8"/>
      <w:r>
        <w:rPr>
          <w:color w:val="433F44"/>
          <w:lang w:val="ky" w:eastAsia="ky" w:bidi="ky"/>
        </w:rPr>
        <w:t>Сүрөттөмөсү</w:t>
      </w:r>
      <w:bookmarkEnd w:id="4"/>
    </w:p>
    <w:p w14:paraId="635163DD" w14:textId="77777777" w:rsidR="002D4B6A" w:rsidRDefault="00AB0766">
      <w:pPr>
        <w:pStyle w:val="1"/>
        <w:spacing w:after="380" w:line="240" w:lineRule="auto"/>
      </w:pPr>
      <w:r>
        <w:rPr>
          <w:color w:val="433F44"/>
        </w:rPr>
        <w:t xml:space="preserve">Тунук </w:t>
      </w:r>
      <w:r>
        <w:rPr>
          <w:color w:val="433F44"/>
          <w:lang w:val="ky" w:eastAsia="ky" w:bidi="ky"/>
        </w:rPr>
        <w:t xml:space="preserve">түссүз </w:t>
      </w:r>
      <w:r>
        <w:rPr>
          <w:color w:val="433F44"/>
        </w:rPr>
        <w:t>суюктук.</w:t>
      </w:r>
    </w:p>
    <w:p w14:paraId="4470FAD0" w14:textId="77777777" w:rsidR="002D4B6A" w:rsidRDefault="00AB0766">
      <w:pPr>
        <w:pStyle w:val="11"/>
        <w:keepNext/>
        <w:keepLines/>
        <w:spacing w:after="40" w:line="240" w:lineRule="auto"/>
      </w:pPr>
      <w:bookmarkStart w:id="5" w:name="bookmark10"/>
      <w:r>
        <w:rPr>
          <w:color w:val="433F44"/>
        </w:rPr>
        <w:t>Фармадарылык тобу</w:t>
      </w:r>
      <w:bookmarkEnd w:id="5"/>
    </w:p>
    <w:p w14:paraId="3D52DC1F" w14:textId="77777777" w:rsidR="002D4B6A" w:rsidRDefault="00AB0766">
      <w:pPr>
        <w:pStyle w:val="1"/>
        <w:spacing w:after="40" w:line="240" w:lineRule="auto"/>
      </w:pPr>
      <w:r>
        <w:rPr>
          <w:color w:val="433F44"/>
          <w:lang w:val="ky" w:eastAsia="ky" w:bidi="ky"/>
        </w:rPr>
        <w:t xml:space="preserve">Жүрөк-кан </w:t>
      </w:r>
      <w:r>
        <w:rPr>
          <w:color w:val="433F44"/>
        </w:rPr>
        <w:t xml:space="preserve">тамыр системасына таасир </w:t>
      </w:r>
      <w:r>
        <w:rPr>
          <w:color w:val="433F44"/>
          <w:lang w:val="ky" w:eastAsia="ky" w:bidi="ky"/>
        </w:rPr>
        <w:t xml:space="preserve">берүүчү </w:t>
      </w:r>
      <w:r>
        <w:rPr>
          <w:color w:val="433F44"/>
        </w:rPr>
        <w:t>препараттар. Кардиологиялык каражаттар.</w:t>
      </w:r>
    </w:p>
    <w:p w14:paraId="2ED373F2" w14:textId="77777777" w:rsidR="002D4B6A" w:rsidRDefault="00AB0766">
      <w:pPr>
        <w:pStyle w:val="1"/>
        <w:spacing w:after="40" w:line="240" w:lineRule="auto"/>
      </w:pPr>
      <w:r>
        <w:rPr>
          <w:color w:val="433F44"/>
        </w:rPr>
        <w:t>Кардиологияда колдонулуучу вазодилаторлор. Органикалык нитраттар. Изосорбид динитрат.</w:t>
      </w:r>
    </w:p>
    <w:p w14:paraId="0113C6DC" w14:textId="77777777" w:rsidR="002D4B6A" w:rsidRDefault="00AB0766">
      <w:pPr>
        <w:pStyle w:val="1"/>
        <w:spacing w:after="380" w:line="240" w:lineRule="auto"/>
      </w:pPr>
      <w:r>
        <w:rPr>
          <w:b/>
          <w:bCs/>
          <w:color w:val="433F44"/>
        </w:rPr>
        <w:t xml:space="preserve">АТХ коду: </w:t>
      </w:r>
      <w:r>
        <w:rPr>
          <w:color w:val="433F44"/>
          <w:lang w:val="la-Latn" w:eastAsia="la-Latn" w:bidi="la-Latn"/>
        </w:rPr>
        <w:t xml:space="preserve">C01D </w:t>
      </w:r>
      <w:r>
        <w:rPr>
          <w:color w:val="433F44"/>
        </w:rPr>
        <w:t>А08.</w:t>
      </w:r>
    </w:p>
    <w:p w14:paraId="6EC0A562" w14:textId="77777777" w:rsidR="002D4B6A" w:rsidRDefault="00AB0766">
      <w:pPr>
        <w:pStyle w:val="1"/>
        <w:spacing w:after="40" w:line="240" w:lineRule="auto"/>
        <w:rPr>
          <w:sz w:val="24"/>
          <w:szCs w:val="24"/>
        </w:rPr>
      </w:pPr>
      <w:r>
        <w:rPr>
          <w:i/>
          <w:iCs/>
          <w:color w:val="433F44"/>
          <w:sz w:val="24"/>
          <w:szCs w:val="24"/>
        </w:rPr>
        <w:t>Фармакологиялык касиеттери</w:t>
      </w:r>
    </w:p>
    <w:p w14:paraId="6F959B08" w14:textId="77777777" w:rsidR="002D4B6A" w:rsidRDefault="00AB0766">
      <w:pPr>
        <w:pStyle w:val="1"/>
        <w:spacing w:after="40" w:line="240" w:lineRule="auto"/>
      </w:pPr>
      <w:r>
        <w:rPr>
          <w:i/>
          <w:iCs/>
          <w:color w:val="433F44"/>
        </w:rPr>
        <w:t>Фармакодинамикасы.</w:t>
      </w:r>
      <w:r>
        <w:br w:type="page"/>
      </w:r>
    </w:p>
    <w:p w14:paraId="59698601" w14:textId="77777777" w:rsidR="002D4B6A" w:rsidRPr="00116BBA" w:rsidRDefault="00AB0766">
      <w:pPr>
        <w:pStyle w:val="1"/>
        <w:jc w:val="both"/>
        <w:rPr>
          <w:lang w:val="ky"/>
        </w:rPr>
      </w:pPr>
      <w:r>
        <w:lastRenderedPageBreak/>
        <w:t xml:space="preserve">Изосорбид динитрат - ангинага карты каражат, негизинен веноздук кан тамырларга таасир </w:t>
      </w:r>
      <w:r>
        <w:rPr>
          <w:lang w:val="ky" w:eastAsia="ky" w:bidi="ky"/>
        </w:rPr>
        <w:t xml:space="preserve">берүүчү </w:t>
      </w:r>
      <w:r>
        <w:t xml:space="preserve">вазодилатор, ошондой эле артерияларды бошонтот. Мунун эсебинен </w:t>
      </w:r>
      <w:r>
        <w:rPr>
          <w:lang w:val="ky" w:eastAsia="ky" w:bidi="ky"/>
        </w:rPr>
        <w:t xml:space="preserve">жүрөккө </w:t>
      </w:r>
      <w:r>
        <w:t xml:space="preserve">веноздук кайтуу </w:t>
      </w:r>
      <w:r>
        <w:rPr>
          <w:lang w:val="ky" w:eastAsia="ky" w:bidi="ky"/>
        </w:rPr>
        <w:t xml:space="preserve">көлөмү </w:t>
      </w:r>
      <w:r>
        <w:t xml:space="preserve">азаят; мындан улам, карынчанын акыркы диастоликалык басымы жана </w:t>
      </w:r>
      <w:r>
        <w:rPr>
          <w:lang w:val="ky" w:eastAsia="ky" w:bidi="ky"/>
        </w:rPr>
        <w:t xml:space="preserve">көлөмү </w:t>
      </w:r>
      <w:r>
        <w:t xml:space="preserve">(алдын ала </w:t>
      </w:r>
      <w:r>
        <w:rPr>
          <w:lang w:val="ky" w:eastAsia="ky" w:bidi="ky"/>
        </w:rPr>
        <w:t xml:space="preserve">жүктөм) </w:t>
      </w:r>
      <w:r>
        <w:t xml:space="preserve">азаят. Артерияларга, ал эми жогорку дозада артериолаларга таасири системалуу кан тамыр каршылыгынын </w:t>
      </w:r>
      <w:r>
        <w:rPr>
          <w:lang w:val="ky" w:eastAsia="ky" w:bidi="ky"/>
        </w:rPr>
        <w:t xml:space="preserve">төмөндөшүнө </w:t>
      </w:r>
      <w:r>
        <w:t xml:space="preserve">алый келет (кийинки </w:t>
      </w:r>
      <w:r>
        <w:rPr>
          <w:lang w:val="ky" w:eastAsia="ky" w:bidi="ky"/>
        </w:rPr>
        <w:t xml:space="preserve">жүктөм). </w:t>
      </w:r>
      <w:r w:rsidRPr="00116BBA">
        <w:rPr>
          <w:lang w:val="ky"/>
        </w:rPr>
        <w:t xml:space="preserve">Бул оз кезегинде </w:t>
      </w:r>
      <w:r>
        <w:rPr>
          <w:lang w:val="ky" w:eastAsia="ky" w:bidi="ky"/>
        </w:rPr>
        <w:t xml:space="preserve">жүрөктүн </w:t>
      </w:r>
      <w:r w:rsidRPr="00116BBA">
        <w:rPr>
          <w:lang w:val="ky"/>
        </w:rPr>
        <w:t xml:space="preserve">ишин </w:t>
      </w:r>
      <w:r>
        <w:rPr>
          <w:lang w:val="ky" w:eastAsia="ky" w:bidi="ky"/>
        </w:rPr>
        <w:t xml:space="preserve">жеңилдетет. </w:t>
      </w:r>
      <w:r w:rsidRPr="00116BBA">
        <w:rPr>
          <w:lang w:val="ky"/>
        </w:rPr>
        <w:t xml:space="preserve">Алдын ала жана кийинки </w:t>
      </w:r>
      <w:r>
        <w:rPr>
          <w:lang w:val="ky" w:eastAsia="ky" w:bidi="ky"/>
        </w:rPr>
        <w:t xml:space="preserve">жүктөмгө </w:t>
      </w:r>
      <w:r w:rsidRPr="00116BBA">
        <w:rPr>
          <w:lang w:val="ky"/>
        </w:rPr>
        <w:t xml:space="preserve">болгон таасир </w:t>
      </w:r>
      <w:r>
        <w:rPr>
          <w:lang w:val="ky" w:eastAsia="ky" w:bidi="ky"/>
        </w:rPr>
        <w:t xml:space="preserve">жүрөктүн </w:t>
      </w:r>
      <w:r w:rsidRPr="00116BBA">
        <w:rPr>
          <w:lang w:val="ky"/>
        </w:rPr>
        <w:t xml:space="preserve">кычкылтекке болгон муктаждыгынын даты </w:t>
      </w:r>
      <w:r>
        <w:rPr>
          <w:lang w:val="ky" w:eastAsia="ky" w:bidi="ky"/>
        </w:rPr>
        <w:t xml:space="preserve">төмөндөшүнө </w:t>
      </w:r>
      <w:r w:rsidRPr="00116BBA">
        <w:rPr>
          <w:lang w:val="ky"/>
        </w:rPr>
        <w:t xml:space="preserve">алый келет. Мындан тышкары, эгерде коронардык кан айлануу атеросклеротикалык жаралар менен жарым-жартылай бузулса изосорбид динитрат </w:t>
      </w:r>
      <w:r>
        <w:rPr>
          <w:lang w:val="ky" w:eastAsia="ky" w:bidi="ky"/>
        </w:rPr>
        <w:t xml:space="preserve">жүрөктүн </w:t>
      </w:r>
      <w:r w:rsidRPr="00116BBA">
        <w:rPr>
          <w:lang w:val="ky"/>
        </w:rPr>
        <w:t xml:space="preserve">субэндокардиалдык аймактарына кан агымынын кайра </w:t>
      </w:r>
      <w:r>
        <w:rPr>
          <w:lang w:val="ky" w:eastAsia="ky" w:bidi="ky"/>
        </w:rPr>
        <w:t xml:space="preserve">бөлүштүрүлүшүн </w:t>
      </w:r>
      <w:r w:rsidRPr="00116BBA">
        <w:rPr>
          <w:lang w:val="ky"/>
        </w:rPr>
        <w:t xml:space="preserve">шарттайт. Бул таасир, балким </w:t>
      </w:r>
      <w:r>
        <w:rPr>
          <w:lang w:val="ky" w:eastAsia="ky" w:bidi="ky"/>
        </w:rPr>
        <w:t xml:space="preserve">чоң </w:t>
      </w:r>
      <w:r w:rsidRPr="00116BBA">
        <w:rPr>
          <w:lang w:val="ky"/>
        </w:rPr>
        <w:t xml:space="preserve">коронардык тамырлардын тандалма </w:t>
      </w:r>
      <w:r>
        <w:rPr>
          <w:lang w:val="ky" w:eastAsia="ky" w:bidi="ky"/>
        </w:rPr>
        <w:t xml:space="preserve">кеңейүүсүнө </w:t>
      </w:r>
      <w:r w:rsidRPr="00116BBA">
        <w:rPr>
          <w:lang w:val="ky"/>
        </w:rPr>
        <w:t xml:space="preserve">байланыштуу. Нитраттардан келип чыккан </w:t>
      </w:r>
      <w:r>
        <w:rPr>
          <w:lang w:val="ky" w:eastAsia="ky" w:bidi="ky"/>
        </w:rPr>
        <w:t xml:space="preserve">күрөө </w:t>
      </w:r>
      <w:r w:rsidRPr="00116BBA">
        <w:rPr>
          <w:lang w:val="ky"/>
        </w:rPr>
        <w:t xml:space="preserve">артерияларынын </w:t>
      </w:r>
      <w:r>
        <w:rPr>
          <w:lang w:val="ky" w:eastAsia="ky" w:bidi="ky"/>
        </w:rPr>
        <w:t xml:space="preserve">кеңейиши </w:t>
      </w:r>
      <w:r w:rsidRPr="00116BBA">
        <w:rPr>
          <w:lang w:val="ky"/>
        </w:rPr>
        <w:t xml:space="preserve">ишемиялык жерлердин </w:t>
      </w:r>
      <w:r>
        <w:rPr>
          <w:lang w:val="ky" w:eastAsia="ky" w:bidi="ky"/>
        </w:rPr>
        <w:t xml:space="preserve">өтүшүн </w:t>
      </w:r>
      <w:r w:rsidRPr="00116BBA">
        <w:rPr>
          <w:lang w:val="ky"/>
        </w:rPr>
        <w:t xml:space="preserve">жакшыртышы </w:t>
      </w:r>
      <w:r>
        <w:rPr>
          <w:lang w:val="ky" w:eastAsia="ky" w:bidi="ky"/>
        </w:rPr>
        <w:t>мүмкүн.</w:t>
      </w:r>
    </w:p>
    <w:p w14:paraId="4046B732" w14:textId="77777777" w:rsidR="002D4B6A" w:rsidRPr="00116BBA" w:rsidRDefault="00AB0766">
      <w:pPr>
        <w:pStyle w:val="1"/>
        <w:jc w:val="both"/>
        <w:rPr>
          <w:lang w:val="ky"/>
        </w:rPr>
      </w:pPr>
      <w:r>
        <w:rPr>
          <w:lang w:val="ky" w:eastAsia="ky" w:bidi="ky"/>
        </w:rPr>
        <w:t xml:space="preserve">Жүрөктүн </w:t>
      </w:r>
      <w:r w:rsidRPr="00116BBA">
        <w:rPr>
          <w:lang w:val="ky"/>
        </w:rPr>
        <w:t xml:space="preserve">дымыган жетишсиздиги менен ооруган бейтаптарда нитраттар тынч абалда жана </w:t>
      </w:r>
      <w:r>
        <w:rPr>
          <w:lang w:val="ky" w:eastAsia="ky" w:bidi="ky"/>
        </w:rPr>
        <w:t xml:space="preserve">жүктөм </w:t>
      </w:r>
      <w:r w:rsidRPr="00116BBA">
        <w:rPr>
          <w:lang w:val="ky"/>
        </w:rPr>
        <w:t xml:space="preserve">учурунда гемодинамиканы жакшыртат. Бул </w:t>
      </w:r>
      <w:r>
        <w:rPr>
          <w:lang w:val="ky" w:eastAsia="ky" w:bidi="ky"/>
        </w:rPr>
        <w:t xml:space="preserve">оң </w:t>
      </w:r>
      <w:r w:rsidRPr="00116BBA">
        <w:rPr>
          <w:lang w:val="ky"/>
        </w:rPr>
        <w:t xml:space="preserve">натыйжалуу таасир бир нече механизмдерди камтыйт, атап айтканда, клапандардын регургитациясын жакшыртуу (карынчанын дилатациясынын </w:t>
      </w:r>
      <w:r>
        <w:rPr>
          <w:lang w:val="ky" w:eastAsia="ky" w:bidi="ky"/>
        </w:rPr>
        <w:t xml:space="preserve">төмөндөөсүнө </w:t>
      </w:r>
      <w:r w:rsidRPr="00116BBA">
        <w:rPr>
          <w:lang w:val="ky"/>
        </w:rPr>
        <w:t xml:space="preserve">байланыштуу) жана миокарддын кычкылтекти </w:t>
      </w:r>
      <w:r>
        <w:rPr>
          <w:lang w:val="ky" w:eastAsia="ky" w:bidi="ky"/>
        </w:rPr>
        <w:t xml:space="preserve">керектөөсүн </w:t>
      </w:r>
      <w:r w:rsidRPr="00116BBA">
        <w:rPr>
          <w:lang w:val="ky"/>
        </w:rPr>
        <w:t xml:space="preserve">азайтуу. Кычкылтекти </w:t>
      </w:r>
      <w:r>
        <w:rPr>
          <w:lang w:val="ky" w:eastAsia="ky" w:bidi="ky"/>
        </w:rPr>
        <w:t xml:space="preserve">керектөөнүн </w:t>
      </w:r>
      <w:r w:rsidRPr="00116BBA">
        <w:rPr>
          <w:lang w:val="ky"/>
        </w:rPr>
        <w:t xml:space="preserve">азайышы жана анын жеткирилишинин </w:t>
      </w:r>
      <w:r>
        <w:rPr>
          <w:lang w:val="ky" w:eastAsia="ky" w:bidi="ky"/>
        </w:rPr>
        <w:t xml:space="preserve">көбөйүшүнө </w:t>
      </w:r>
      <w:r w:rsidRPr="00116BBA">
        <w:rPr>
          <w:lang w:val="ky"/>
        </w:rPr>
        <w:t xml:space="preserve">байланыштуу миокарддын бузулуу зонасы </w:t>
      </w:r>
      <w:r>
        <w:rPr>
          <w:lang w:val="ky" w:eastAsia="ky" w:bidi="ky"/>
        </w:rPr>
        <w:t xml:space="preserve">төмөндөйт. </w:t>
      </w:r>
      <w:r w:rsidRPr="00116BBA">
        <w:rPr>
          <w:lang w:val="ky"/>
        </w:rPr>
        <w:t xml:space="preserve">Ошентип, изосорбид динитрат миокард инфаркты менен ооруган бейтаптар </w:t>
      </w:r>
      <w:r>
        <w:rPr>
          <w:lang w:val="ky" w:eastAsia="ky" w:bidi="ky"/>
        </w:rPr>
        <w:t xml:space="preserve">үчүн </w:t>
      </w:r>
      <w:r w:rsidRPr="00116BBA">
        <w:rPr>
          <w:lang w:val="ky"/>
        </w:rPr>
        <w:t xml:space="preserve">пайдалуу болушу </w:t>
      </w:r>
      <w:r>
        <w:rPr>
          <w:lang w:val="ky" w:eastAsia="ky" w:bidi="ky"/>
        </w:rPr>
        <w:t>мүмкүн.</w:t>
      </w:r>
    </w:p>
    <w:p w14:paraId="73EEC30A" w14:textId="77777777" w:rsidR="002D4B6A" w:rsidRPr="00116BBA" w:rsidRDefault="00AB0766">
      <w:pPr>
        <w:pStyle w:val="1"/>
        <w:jc w:val="both"/>
        <w:rPr>
          <w:lang w:val="ky"/>
        </w:rPr>
      </w:pPr>
      <w:r w:rsidRPr="00116BBA">
        <w:rPr>
          <w:lang w:val="ky"/>
        </w:rPr>
        <w:t xml:space="preserve">Башка орган системаларына таасири бронхиалдык </w:t>
      </w:r>
      <w:r>
        <w:rPr>
          <w:lang w:val="ky" w:eastAsia="ky" w:bidi="ky"/>
        </w:rPr>
        <w:t xml:space="preserve">булчуңдардын, </w:t>
      </w:r>
      <w:r w:rsidRPr="00116BBA">
        <w:rPr>
          <w:lang w:val="ky"/>
        </w:rPr>
        <w:t xml:space="preserve">ашказан-ичеги жолунун </w:t>
      </w:r>
      <w:r>
        <w:rPr>
          <w:lang w:val="ky" w:eastAsia="ky" w:bidi="ky"/>
        </w:rPr>
        <w:t xml:space="preserve">булчуңдарынын, </w:t>
      </w:r>
      <w:r w:rsidRPr="00116BBA">
        <w:rPr>
          <w:lang w:val="ky"/>
        </w:rPr>
        <w:t xml:space="preserve">от жана заара </w:t>
      </w:r>
      <w:r>
        <w:rPr>
          <w:lang w:val="ky" w:eastAsia="ky" w:bidi="ky"/>
        </w:rPr>
        <w:t xml:space="preserve">бөлүп </w:t>
      </w:r>
      <w:r w:rsidRPr="00116BBA">
        <w:rPr>
          <w:lang w:val="ky"/>
        </w:rPr>
        <w:t xml:space="preserve">чыгаруучу жолдордун </w:t>
      </w:r>
      <w:r>
        <w:rPr>
          <w:lang w:val="ky" w:eastAsia="ky" w:bidi="ky"/>
        </w:rPr>
        <w:t xml:space="preserve">булчуңдарынын бошоңдошун </w:t>
      </w:r>
      <w:r w:rsidRPr="00116BBA">
        <w:rPr>
          <w:lang w:val="ky"/>
        </w:rPr>
        <w:t xml:space="preserve">камтыйт. Жатындын жылмакай </w:t>
      </w:r>
      <w:r>
        <w:rPr>
          <w:lang w:val="ky" w:eastAsia="ky" w:bidi="ky"/>
        </w:rPr>
        <w:t xml:space="preserve">булчуңдарын </w:t>
      </w:r>
      <w:r w:rsidRPr="00116BBA">
        <w:rPr>
          <w:lang w:val="ky"/>
        </w:rPr>
        <w:t xml:space="preserve">бошонтуу таасири тууралуу маалыматтар бар. </w:t>
      </w:r>
      <w:r w:rsidRPr="00116BBA">
        <w:rPr>
          <w:u w:val="single"/>
          <w:lang w:val="ky"/>
        </w:rPr>
        <w:t>Таасир беруу механизми.</w:t>
      </w:r>
    </w:p>
    <w:p w14:paraId="29BD5A95" w14:textId="77777777" w:rsidR="002D4B6A" w:rsidRPr="00116BBA" w:rsidRDefault="00AB0766">
      <w:pPr>
        <w:pStyle w:val="1"/>
        <w:jc w:val="both"/>
        <w:rPr>
          <w:lang w:val="ky"/>
        </w:rPr>
      </w:pPr>
      <w:r w:rsidRPr="00116BBA">
        <w:rPr>
          <w:lang w:val="ky"/>
        </w:rPr>
        <w:t xml:space="preserve">Изосорбид динитрат азот оксидинин </w:t>
      </w:r>
      <w:r>
        <w:rPr>
          <w:lang w:val="la-Latn" w:eastAsia="la-Latn" w:bidi="la-Latn"/>
        </w:rPr>
        <w:t xml:space="preserve">(NO) </w:t>
      </w:r>
      <w:r w:rsidRPr="00116BBA">
        <w:rPr>
          <w:lang w:val="ky"/>
        </w:rPr>
        <w:t xml:space="preserve">донору катары таасир берет, бул гуаниллилциклазасын жонго салуу аркылуу кан тамырлардын жылмакай </w:t>
      </w:r>
      <w:r>
        <w:rPr>
          <w:lang w:val="ky" w:eastAsia="ky" w:bidi="ky"/>
        </w:rPr>
        <w:t xml:space="preserve">булчуңдарынын </w:t>
      </w:r>
      <w:r w:rsidRPr="00116BBA">
        <w:rPr>
          <w:lang w:val="ky"/>
        </w:rPr>
        <w:t xml:space="preserve">бошондоосуна жана андан кийин циклдик гуаносилмонофосфаттын </w:t>
      </w:r>
      <w:r>
        <w:rPr>
          <w:lang w:val="la-Latn" w:eastAsia="la-Latn" w:bidi="la-Latn"/>
        </w:rPr>
        <w:t xml:space="preserve">(cGMP) </w:t>
      </w:r>
      <w:r w:rsidRPr="00116BBA">
        <w:rPr>
          <w:lang w:val="ky"/>
        </w:rPr>
        <w:t xml:space="preserve">концентрациясынын жогорулашына алып келет; акыркысы бошонуунун медиатору болуп эсептелет. Ошентип, цГМФ- коз каранды протеинкиназа жонго салынат жана натыйжада жылмакай </w:t>
      </w:r>
      <w:r>
        <w:rPr>
          <w:lang w:val="ky" w:eastAsia="ky" w:bidi="ky"/>
        </w:rPr>
        <w:t xml:space="preserve">булчуң </w:t>
      </w:r>
      <w:r w:rsidRPr="00116BBA">
        <w:rPr>
          <w:lang w:val="ky"/>
        </w:rPr>
        <w:t xml:space="preserve">клеткаларындагы ар кандай протеиндердин фосфорлануусунун </w:t>
      </w:r>
      <w:r>
        <w:rPr>
          <w:lang w:val="ky" w:eastAsia="ky" w:bidi="ky"/>
        </w:rPr>
        <w:t xml:space="preserve">өзгөрүүсү жүрөт. </w:t>
      </w:r>
      <w:r w:rsidRPr="00116BBA">
        <w:rPr>
          <w:lang w:val="ky"/>
        </w:rPr>
        <w:t xml:space="preserve">Бул жыйынтыгында миозиндин </w:t>
      </w:r>
      <w:r>
        <w:rPr>
          <w:lang w:val="ky" w:eastAsia="ky" w:bidi="ky"/>
        </w:rPr>
        <w:t xml:space="preserve">жеңил </w:t>
      </w:r>
      <w:r w:rsidRPr="00116BBA">
        <w:rPr>
          <w:lang w:val="ky"/>
        </w:rPr>
        <w:t xml:space="preserve">чынжырынын дефосфоризациясына жана жыйрылышынын </w:t>
      </w:r>
      <w:r>
        <w:rPr>
          <w:lang w:val="ky" w:eastAsia="ky" w:bidi="ky"/>
        </w:rPr>
        <w:t xml:space="preserve">төмөндөшүнө </w:t>
      </w:r>
      <w:r w:rsidRPr="00116BBA">
        <w:rPr>
          <w:lang w:val="ky"/>
        </w:rPr>
        <w:t xml:space="preserve">алып келет. </w:t>
      </w:r>
      <w:r w:rsidRPr="00116BBA">
        <w:rPr>
          <w:i/>
          <w:iCs/>
          <w:lang w:val="ky"/>
        </w:rPr>
        <w:t>Фармакокинетикасы.</w:t>
      </w:r>
    </w:p>
    <w:p w14:paraId="6048DB05" w14:textId="77777777" w:rsidR="002D4B6A" w:rsidRPr="00116BBA" w:rsidRDefault="00AB0766">
      <w:pPr>
        <w:pStyle w:val="1"/>
        <w:spacing w:after="320"/>
        <w:jc w:val="both"/>
        <w:rPr>
          <w:lang w:val="ky"/>
        </w:rPr>
      </w:pPr>
      <w:r w:rsidRPr="00116BBA">
        <w:rPr>
          <w:lang w:val="ky"/>
        </w:rPr>
        <w:t xml:space="preserve">Изосорбид динитраттын жарым-жартылай </w:t>
      </w:r>
      <w:r>
        <w:rPr>
          <w:lang w:val="ky" w:eastAsia="ky" w:bidi="ky"/>
        </w:rPr>
        <w:t xml:space="preserve">бөлүнүп </w:t>
      </w:r>
      <w:r w:rsidRPr="00116BBA">
        <w:rPr>
          <w:lang w:val="ky"/>
        </w:rPr>
        <w:t xml:space="preserve">чыгуу мезгили кок кан тамыр ичине </w:t>
      </w:r>
      <w:r>
        <w:rPr>
          <w:lang w:val="ky" w:eastAsia="ky" w:bidi="ky"/>
        </w:rPr>
        <w:t xml:space="preserve">жүргүзүлгөн </w:t>
      </w:r>
      <w:r w:rsidRPr="00116BBA">
        <w:rPr>
          <w:lang w:val="ky"/>
        </w:rPr>
        <w:t xml:space="preserve">инфузиядан кийин 10 минутту </w:t>
      </w:r>
      <w:r>
        <w:rPr>
          <w:lang w:val="ky" w:eastAsia="ky" w:bidi="ky"/>
        </w:rPr>
        <w:t xml:space="preserve">түзөт. </w:t>
      </w:r>
      <w:r w:rsidRPr="00116BBA">
        <w:rPr>
          <w:lang w:val="ky"/>
        </w:rPr>
        <w:t xml:space="preserve">Изосорбид динитрат боордо изосорбид-2- мононитрат жана </w:t>
      </w:r>
      <w:r>
        <w:rPr>
          <w:lang w:val="ky" w:eastAsia="ky" w:bidi="ky"/>
        </w:rPr>
        <w:t xml:space="preserve">изосорбид-5-мононитрат </w:t>
      </w:r>
      <w:r w:rsidRPr="00116BBA">
        <w:rPr>
          <w:lang w:val="ky"/>
        </w:rPr>
        <w:t xml:space="preserve">жаратуу менен метаболизмге учурайт, жарым- жартылай </w:t>
      </w:r>
      <w:r>
        <w:rPr>
          <w:lang w:val="ky" w:eastAsia="ky" w:bidi="ky"/>
        </w:rPr>
        <w:t xml:space="preserve">бөлүнүп </w:t>
      </w:r>
      <w:r w:rsidRPr="00116BBA">
        <w:rPr>
          <w:lang w:val="ky"/>
        </w:rPr>
        <w:t xml:space="preserve">чыгуу мезгили </w:t>
      </w:r>
      <w:r>
        <w:rPr>
          <w:lang w:val="ky" w:eastAsia="ky" w:bidi="ky"/>
        </w:rPr>
        <w:t xml:space="preserve">тиешелүүлүгүнө </w:t>
      </w:r>
      <w:r w:rsidRPr="00116BBA">
        <w:rPr>
          <w:lang w:val="ky"/>
        </w:rPr>
        <w:t xml:space="preserve">жараша 1,5-2 саат жана 4-6 саат. Эки метаболиттер фармакологиялык жактан </w:t>
      </w:r>
      <w:r>
        <w:rPr>
          <w:lang w:val="ky" w:eastAsia="ky" w:bidi="ky"/>
        </w:rPr>
        <w:t xml:space="preserve">активдүү. </w:t>
      </w:r>
      <w:r w:rsidRPr="00116BBA">
        <w:rPr>
          <w:lang w:val="ky"/>
        </w:rPr>
        <w:t xml:space="preserve">Изосорбид динитрат эритмесинин </w:t>
      </w:r>
      <w:r>
        <w:rPr>
          <w:lang w:val="ky" w:eastAsia="ky" w:bidi="ky"/>
        </w:rPr>
        <w:t xml:space="preserve">биожеткиликтүүлүгү </w:t>
      </w:r>
      <w:r w:rsidRPr="00116BBA">
        <w:rPr>
          <w:lang w:val="ky"/>
        </w:rPr>
        <w:t xml:space="preserve">кок кан тамыр ичине колдонулган бардык препараттар сыяктуу эле 100% </w:t>
      </w:r>
      <w:r>
        <w:rPr>
          <w:lang w:val="ky" w:eastAsia="ky" w:bidi="ky"/>
        </w:rPr>
        <w:t>түзөт.</w:t>
      </w:r>
    </w:p>
    <w:p w14:paraId="6607474D" w14:textId="77777777" w:rsidR="002D4B6A" w:rsidRDefault="00AB0766">
      <w:pPr>
        <w:pStyle w:val="11"/>
        <w:keepNext/>
        <w:keepLines/>
        <w:jc w:val="both"/>
      </w:pPr>
      <w:bookmarkStart w:id="6" w:name="bookmark12"/>
      <w:r>
        <w:t xml:space="preserve">Колдонууга </w:t>
      </w:r>
      <w:r>
        <w:rPr>
          <w:lang w:val="ky" w:eastAsia="ky" w:bidi="ky"/>
        </w:rPr>
        <w:t>көрсөтмөлөр</w:t>
      </w:r>
      <w:bookmarkEnd w:id="6"/>
    </w:p>
    <w:p w14:paraId="404731CF" w14:textId="77777777" w:rsidR="002D4B6A" w:rsidRDefault="00AB0766">
      <w:pPr>
        <w:pStyle w:val="1"/>
        <w:numPr>
          <w:ilvl w:val="0"/>
          <w:numId w:val="1"/>
        </w:numPr>
        <w:tabs>
          <w:tab w:val="left" w:pos="288"/>
        </w:tabs>
        <w:ind w:left="300" w:hanging="300"/>
        <w:jc w:val="both"/>
      </w:pPr>
      <w:r>
        <w:t xml:space="preserve">Стандарттуу дарылоого кошумча катары туруксуз стенокардияны симптомдоруна жараша дарылоо, вазоспастикалык стенокардия </w:t>
      </w:r>
      <w:r>
        <w:rPr>
          <w:lang w:val="ky" w:eastAsia="ky" w:bidi="ky"/>
        </w:rPr>
        <w:t xml:space="preserve">үчүн </w:t>
      </w:r>
      <w:r>
        <w:t xml:space="preserve">узак </w:t>
      </w:r>
      <w:r>
        <w:rPr>
          <w:lang w:val="ky" w:eastAsia="ky" w:bidi="ky"/>
        </w:rPr>
        <w:t xml:space="preserve">мөөнөттүү </w:t>
      </w:r>
      <w:r>
        <w:t>дарылоо (Принцметал стенокардиясы);</w:t>
      </w:r>
    </w:p>
    <w:p w14:paraId="064EAE11" w14:textId="77777777" w:rsidR="002D4B6A" w:rsidRDefault="00AB0766">
      <w:pPr>
        <w:pStyle w:val="1"/>
        <w:numPr>
          <w:ilvl w:val="0"/>
          <w:numId w:val="1"/>
        </w:numPr>
        <w:tabs>
          <w:tab w:val="left" w:pos="288"/>
        </w:tabs>
        <w:spacing w:after="160"/>
        <w:ind w:left="300" w:hanging="300"/>
        <w:jc w:val="both"/>
      </w:pPr>
      <w:r>
        <w:t xml:space="preserve">ар кандай этиологиядагы катуу кармаган сол карынча </w:t>
      </w:r>
      <w:r>
        <w:rPr>
          <w:lang w:val="ky" w:eastAsia="ky" w:bidi="ky"/>
        </w:rPr>
        <w:t xml:space="preserve">жүрөк </w:t>
      </w:r>
      <w:r>
        <w:t xml:space="preserve">жетишсиздиги (сол карынчанын функциясынын бузулуусу менен </w:t>
      </w:r>
      <w:r>
        <w:rPr>
          <w:lang w:val="ky" w:eastAsia="ky" w:bidi="ky"/>
        </w:rPr>
        <w:t xml:space="preserve">жүрөк булчуңунун </w:t>
      </w:r>
      <w:r>
        <w:t>алсыздыгы);</w:t>
      </w:r>
    </w:p>
    <w:p w14:paraId="137869D1" w14:textId="77777777" w:rsidR="002D4B6A" w:rsidRDefault="00AB0766">
      <w:pPr>
        <w:pStyle w:val="1"/>
        <w:spacing w:after="360" w:line="240" w:lineRule="auto"/>
      </w:pPr>
      <w:r>
        <w:t>- курч миокард инфаркты.</w:t>
      </w:r>
    </w:p>
    <w:p w14:paraId="0D802DC7" w14:textId="77777777" w:rsidR="002D4B6A" w:rsidRDefault="00AB0766">
      <w:pPr>
        <w:pStyle w:val="11"/>
        <w:keepNext/>
        <w:keepLines/>
      </w:pPr>
      <w:bookmarkStart w:id="7" w:name="bookmark14"/>
      <w:r>
        <w:t xml:space="preserve">Карты </w:t>
      </w:r>
      <w:r>
        <w:rPr>
          <w:lang w:val="ky" w:eastAsia="ky" w:bidi="ky"/>
        </w:rPr>
        <w:t>көрсөтмөлөр</w:t>
      </w:r>
      <w:bookmarkEnd w:id="7"/>
    </w:p>
    <w:p w14:paraId="0968DD46" w14:textId="77777777" w:rsidR="002D4B6A" w:rsidRDefault="00AB0766">
      <w:pPr>
        <w:pStyle w:val="1"/>
        <w:numPr>
          <w:ilvl w:val="0"/>
          <w:numId w:val="1"/>
        </w:numPr>
        <w:tabs>
          <w:tab w:val="left" w:pos="288"/>
        </w:tabs>
        <w:ind w:left="280" w:hanging="280"/>
        <w:jc w:val="both"/>
      </w:pPr>
      <w:r>
        <w:t xml:space="preserve">изосорбид динитратына, башка нитрат кошулмаларына же препараттын башка курамдык </w:t>
      </w:r>
      <w:r>
        <w:rPr>
          <w:lang w:val="ky" w:eastAsia="ky" w:bidi="ky"/>
        </w:rPr>
        <w:t xml:space="preserve">бөлүктөрүнө </w:t>
      </w:r>
      <w:r>
        <w:t>жогорку сезгичтик;</w:t>
      </w:r>
    </w:p>
    <w:p w14:paraId="16FD7FD4" w14:textId="77777777" w:rsidR="002D4B6A" w:rsidRDefault="00AB0766">
      <w:pPr>
        <w:pStyle w:val="1"/>
        <w:numPr>
          <w:ilvl w:val="0"/>
          <w:numId w:val="1"/>
        </w:numPr>
        <w:tabs>
          <w:tab w:val="left" w:pos="288"/>
        </w:tabs>
      </w:pPr>
      <w:r>
        <w:lastRenderedPageBreak/>
        <w:t>курч кан айлануу жетишсиздиги (шок, коллапс);</w:t>
      </w:r>
    </w:p>
    <w:p w14:paraId="161DA0BD" w14:textId="77777777" w:rsidR="002D4B6A" w:rsidRDefault="00AB0766">
      <w:pPr>
        <w:pStyle w:val="1"/>
        <w:numPr>
          <w:ilvl w:val="0"/>
          <w:numId w:val="1"/>
        </w:numPr>
        <w:tabs>
          <w:tab w:val="left" w:pos="288"/>
        </w:tabs>
        <w:ind w:left="280" w:hanging="280"/>
        <w:jc w:val="both"/>
      </w:pPr>
      <w:r>
        <w:t xml:space="preserve">кардиогендик шок </w:t>
      </w:r>
      <w:r>
        <w:rPr>
          <w:lang w:val="ky" w:eastAsia="ky" w:bidi="ky"/>
        </w:rPr>
        <w:t xml:space="preserve">(тиешелүү </w:t>
      </w:r>
      <w:r>
        <w:t xml:space="preserve">чаралардын натыйжасында сол карынчанын акыркы диастоликалык басымы </w:t>
      </w:r>
      <w:r>
        <w:rPr>
          <w:lang w:val="ky" w:eastAsia="ky" w:bidi="ky"/>
        </w:rPr>
        <w:t xml:space="preserve">жетиштүү деңгээлде </w:t>
      </w:r>
      <w:r>
        <w:t>сакталбаса);</w:t>
      </w:r>
    </w:p>
    <w:p w14:paraId="09AC3965" w14:textId="77777777" w:rsidR="002D4B6A" w:rsidRDefault="00AB0766">
      <w:pPr>
        <w:pStyle w:val="1"/>
        <w:numPr>
          <w:ilvl w:val="0"/>
          <w:numId w:val="1"/>
        </w:numPr>
        <w:tabs>
          <w:tab w:val="left" w:pos="288"/>
        </w:tabs>
      </w:pPr>
      <w:r>
        <w:t xml:space="preserve">гипертрофиялык </w:t>
      </w:r>
      <w:r>
        <w:rPr>
          <w:lang w:val="ky" w:eastAsia="ky" w:bidi="ky"/>
        </w:rPr>
        <w:t xml:space="preserve">обструктивдүү </w:t>
      </w:r>
      <w:r>
        <w:t>кардиомиопатия;</w:t>
      </w:r>
    </w:p>
    <w:p w14:paraId="2F229D27" w14:textId="77777777" w:rsidR="002D4B6A" w:rsidRDefault="00AB0766">
      <w:pPr>
        <w:pStyle w:val="1"/>
        <w:numPr>
          <w:ilvl w:val="0"/>
          <w:numId w:val="1"/>
        </w:numPr>
        <w:tabs>
          <w:tab w:val="left" w:pos="288"/>
        </w:tabs>
      </w:pPr>
      <w:r>
        <w:rPr>
          <w:lang w:val="ky" w:eastAsia="ky" w:bidi="ky"/>
        </w:rPr>
        <w:t xml:space="preserve">конструктивдүү </w:t>
      </w:r>
      <w:r>
        <w:t>перикардит;</w:t>
      </w:r>
    </w:p>
    <w:p w14:paraId="5DF3A341" w14:textId="77777777" w:rsidR="002D4B6A" w:rsidRDefault="00AB0766">
      <w:pPr>
        <w:pStyle w:val="1"/>
        <w:numPr>
          <w:ilvl w:val="0"/>
          <w:numId w:val="1"/>
        </w:numPr>
        <w:tabs>
          <w:tab w:val="left" w:pos="288"/>
        </w:tabs>
      </w:pPr>
      <w:r>
        <w:rPr>
          <w:lang w:val="ky" w:eastAsia="ky" w:bidi="ky"/>
        </w:rPr>
        <w:t xml:space="preserve">жүрөк </w:t>
      </w:r>
      <w:r>
        <w:t>тампонадасы;</w:t>
      </w:r>
    </w:p>
    <w:p w14:paraId="66CAD665" w14:textId="77777777" w:rsidR="002D4B6A" w:rsidRDefault="00AB0766">
      <w:pPr>
        <w:pStyle w:val="1"/>
        <w:numPr>
          <w:ilvl w:val="0"/>
          <w:numId w:val="1"/>
        </w:numPr>
        <w:tabs>
          <w:tab w:val="left" w:pos="288"/>
        </w:tabs>
      </w:pPr>
      <w:r>
        <w:t>оор артериялык гипотензия (систоликалык артериялык басымы 90 мм рт.ст. томен);</w:t>
      </w:r>
    </w:p>
    <w:p w14:paraId="0E8FBC1B" w14:textId="77777777" w:rsidR="002D4B6A" w:rsidRDefault="00AB0766">
      <w:pPr>
        <w:pStyle w:val="1"/>
        <w:numPr>
          <w:ilvl w:val="0"/>
          <w:numId w:val="1"/>
        </w:numPr>
        <w:tabs>
          <w:tab w:val="left" w:pos="288"/>
        </w:tabs>
      </w:pPr>
      <w:r>
        <w:t>оор гиповолемия;</w:t>
      </w:r>
    </w:p>
    <w:p w14:paraId="3B30225D" w14:textId="77777777" w:rsidR="002D4B6A" w:rsidRDefault="00AB0766">
      <w:pPr>
        <w:pStyle w:val="1"/>
        <w:numPr>
          <w:ilvl w:val="0"/>
          <w:numId w:val="1"/>
        </w:numPr>
        <w:tabs>
          <w:tab w:val="left" w:pos="288"/>
        </w:tabs>
      </w:pPr>
      <w:r>
        <w:t>оор аз кандуулук;</w:t>
      </w:r>
    </w:p>
    <w:p w14:paraId="40A3195C" w14:textId="77777777" w:rsidR="002D4B6A" w:rsidRDefault="00AB0766">
      <w:pPr>
        <w:pStyle w:val="1"/>
        <w:numPr>
          <w:ilvl w:val="0"/>
          <w:numId w:val="1"/>
        </w:numPr>
        <w:tabs>
          <w:tab w:val="left" w:pos="288"/>
        </w:tabs>
        <w:ind w:left="280" w:hanging="280"/>
        <w:jc w:val="both"/>
      </w:pPr>
      <w:r>
        <w:t xml:space="preserve">препарат фосфодиэстераза-5 ингибиторлору (мисалы, силденафил, варденафил, тадалафил) менен дарылоо учурунда колдонулбашы керек. «Колдонуунун </w:t>
      </w:r>
      <w:r>
        <w:rPr>
          <w:lang w:val="ky" w:eastAsia="ky" w:bidi="ky"/>
        </w:rPr>
        <w:t xml:space="preserve">өзгөчөлүктөрү» </w:t>
      </w:r>
      <w:r>
        <w:t xml:space="preserve">жана «Башка дары каражаттары менен оз ара таасири жана оз ара таасирдин башка </w:t>
      </w:r>
      <w:r>
        <w:rPr>
          <w:lang w:val="ky" w:eastAsia="ky" w:bidi="ky"/>
        </w:rPr>
        <w:t>түрлөрү» бөлүмдөрүн караңыз;</w:t>
      </w:r>
    </w:p>
    <w:p w14:paraId="4C10B484" w14:textId="77777777" w:rsidR="002D4B6A" w:rsidRDefault="00AB0766">
      <w:pPr>
        <w:pStyle w:val="1"/>
        <w:numPr>
          <w:ilvl w:val="0"/>
          <w:numId w:val="1"/>
        </w:numPr>
        <w:tabs>
          <w:tab w:val="left" w:pos="288"/>
        </w:tabs>
        <w:ind w:left="280" w:hanging="280"/>
        <w:jc w:val="both"/>
      </w:pPr>
      <w:r>
        <w:t xml:space="preserve">нитраттар менен дарылоо учурунда </w:t>
      </w:r>
      <w:r>
        <w:rPr>
          <w:lang w:val="ky" w:eastAsia="ky" w:bidi="ky"/>
        </w:rPr>
        <w:t xml:space="preserve">эрүүчү </w:t>
      </w:r>
      <w:r>
        <w:t xml:space="preserve">гуанилатциклаза стимулятору, риоцигуат колдонулбашы керек («Башка дары каражаттары менен ез ара таасири жана ез ара таасирдин башка </w:t>
      </w:r>
      <w:r>
        <w:rPr>
          <w:lang w:val="ky" w:eastAsia="ky" w:bidi="ky"/>
        </w:rPr>
        <w:t>түрлөрү» бөлүмүн караңыз);</w:t>
      </w:r>
    </w:p>
    <w:p w14:paraId="37E9FA7B" w14:textId="77777777" w:rsidR="002D4B6A" w:rsidRDefault="00AB0766">
      <w:pPr>
        <w:pStyle w:val="1"/>
        <w:numPr>
          <w:ilvl w:val="0"/>
          <w:numId w:val="1"/>
        </w:numPr>
        <w:tabs>
          <w:tab w:val="left" w:pos="288"/>
        </w:tabs>
      </w:pPr>
      <w:r>
        <w:t>геморрагиялык инсульт;</w:t>
      </w:r>
    </w:p>
    <w:p w14:paraId="263B01F3" w14:textId="77777777" w:rsidR="002D4B6A" w:rsidRDefault="00AB0766">
      <w:pPr>
        <w:pStyle w:val="1"/>
        <w:numPr>
          <w:ilvl w:val="0"/>
          <w:numId w:val="1"/>
        </w:numPr>
        <w:tabs>
          <w:tab w:val="left" w:pos="288"/>
        </w:tabs>
      </w:pPr>
      <w:r>
        <w:t xml:space="preserve">баш </w:t>
      </w:r>
      <w:r>
        <w:rPr>
          <w:lang w:val="ky" w:eastAsia="ky" w:bidi="ky"/>
        </w:rPr>
        <w:t>тертинүүсү;</w:t>
      </w:r>
    </w:p>
    <w:p w14:paraId="40C682C5" w14:textId="77777777" w:rsidR="002D4B6A" w:rsidRDefault="00AB0766">
      <w:pPr>
        <w:pStyle w:val="1"/>
        <w:numPr>
          <w:ilvl w:val="0"/>
          <w:numId w:val="1"/>
        </w:numPr>
        <w:tabs>
          <w:tab w:val="left" w:pos="288"/>
        </w:tabs>
        <w:ind w:left="280" w:hanging="280"/>
        <w:jc w:val="both"/>
      </w:pPr>
      <w:r>
        <w:t>баш соек ички басымдын жогорулашы менен коштолгон оорулар (бирок, ушул убакка чейин, глицерин тринитратын жогорку дозасын куюгандан кийин гана баш соек ички басымдын кошумча жогорулашы байкалган);</w:t>
      </w:r>
    </w:p>
    <w:p w14:paraId="1A93A1F3" w14:textId="77777777" w:rsidR="002D4B6A" w:rsidRDefault="00AB0766">
      <w:pPr>
        <w:pStyle w:val="1"/>
        <w:numPr>
          <w:ilvl w:val="0"/>
          <w:numId w:val="1"/>
        </w:numPr>
        <w:tabs>
          <w:tab w:val="left" w:pos="288"/>
        </w:tabs>
      </w:pPr>
      <w:r>
        <w:t>аорта жана/же митралдык стеноз;</w:t>
      </w:r>
    </w:p>
    <w:p w14:paraId="2CB8ADB6" w14:textId="77777777" w:rsidR="002D4B6A" w:rsidRDefault="00AB0766">
      <w:pPr>
        <w:pStyle w:val="1"/>
        <w:numPr>
          <w:ilvl w:val="0"/>
          <w:numId w:val="1"/>
        </w:numPr>
        <w:tabs>
          <w:tab w:val="left" w:pos="288"/>
        </w:tabs>
      </w:pPr>
      <w:r>
        <w:t>глаукома;</w:t>
      </w:r>
    </w:p>
    <w:p w14:paraId="43ECEF11" w14:textId="77777777" w:rsidR="002D4B6A" w:rsidRDefault="00AB0766">
      <w:pPr>
        <w:pStyle w:val="1"/>
        <w:numPr>
          <w:ilvl w:val="0"/>
          <w:numId w:val="1"/>
        </w:numPr>
        <w:tabs>
          <w:tab w:val="left" w:pos="288"/>
        </w:tabs>
        <w:spacing w:after="300"/>
      </w:pPr>
      <w:r>
        <w:t>гипотермия.</w:t>
      </w:r>
    </w:p>
    <w:p w14:paraId="739C31BE" w14:textId="77777777" w:rsidR="002D4B6A" w:rsidRPr="00116BBA" w:rsidRDefault="00AB0766">
      <w:pPr>
        <w:pStyle w:val="1"/>
        <w:spacing w:line="300" w:lineRule="auto"/>
        <w:jc w:val="both"/>
        <w:rPr>
          <w:lang w:val="ky"/>
        </w:rPr>
      </w:pPr>
      <w:r>
        <w:rPr>
          <w:b/>
          <w:bCs/>
        </w:rPr>
        <w:t xml:space="preserve">Башка дары каражаттары менен </w:t>
      </w:r>
      <w:r>
        <w:rPr>
          <w:b/>
          <w:bCs/>
          <w:lang w:val="ky" w:eastAsia="ky" w:bidi="ky"/>
        </w:rPr>
        <w:t xml:space="preserve">өз </w:t>
      </w:r>
      <w:r>
        <w:rPr>
          <w:b/>
          <w:bCs/>
        </w:rPr>
        <w:t xml:space="preserve">ара таасири жана </w:t>
      </w:r>
      <w:r>
        <w:rPr>
          <w:b/>
          <w:bCs/>
          <w:lang w:val="ky" w:eastAsia="ky" w:bidi="ky"/>
        </w:rPr>
        <w:t xml:space="preserve">өз </w:t>
      </w:r>
      <w:r>
        <w:rPr>
          <w:b/>
          <w:bCs/>
        </w:rPr>
        <w:t xml:space="preserve">ара таасирдин башка </w:t>
      </w:r>
      <w:r>
        <w:rPr>
          <w:b/>
          <w:bCs/>
          <w:lang w:val="ky" w:eastAsia="ky" w:bidi="ky"/>
        </w:rPr>
        <w:t xml:space="preserve">түрлөрү </w:t>
      </w:r>
      <w:r>
        <w:t xml:space="preserve">Артериялык басымын </w:t>
      </w:r>
      <w:r>
        <w:rPr>
          <w:lang w:val="ky" w:eastAsia="ky" w:bidi="ky"/>
        </w:rPr>
        <w:t xml:space="preserve">төмөндөтүүчү </w:t>
      </w:r>
      <w:r>
        <w:t xml:space="preserve">башка дары каражаттар менен, мисалы, вазодилаторлор, гипертензияга карты препараттар (бета-блокаторлор, диуретиктер, кальций каналдарынын </w:t>
      </w:r>
      <w:r>
        <w:rPr>
          <w:lang w:val="ky" w:eastAsia="ky" w:bidi="ky"/>
        </w:rPr>
        <w:t xml:space="preserve">бөгөттөгүчтөрү, </w:t>
      </w:r>
      <w:r>
        <w:t xml:space="preserve">аденозинди айландыруучу ферменттин (АСЕ) ингибиторлору), нейролептиктер же </w:t>
      </w:r>
      <w:r>
        <w:rPr>
          <w:lang w:val="ky" w:eastAsia="ky" w:bidi="ky"/>
        </w:rPr>
        <w:t xml:space="preserve">үчциклдүү </w:t>
      </w:r>
      <w:r>
        <w:t xml:space="preserve">антидепрессанттар жана этанол, гипотензиялык натыйжа менен бир убакта колдонууда препаратты </w:t>
      </w:r>
      <w:r>
        <w:rPr>
          <w:lang w:val="ky" w:eastAsia="ky" w:bidi="ky"/>
        </w:rPr>
        <w:t xml:space="preserve">көлөмү көбөйүшү мүмкүн. </w:t>
      </w:r>
      <w:r w:rsidRPr="00116BBA">
        <w:rPr>
          <w:lang w:val="ky"/>
        </w:rPr>
        <w:t xml:space="preserve">АПФ ингибиторлору, фенотиазиндер, башка нитраттар/нитриттер, хинидин, новокаинамид, моноаминоксид аза (МАО) ингибиторлору, наркотикалык анальгетиктер - изосорбид динитратынын гипотензиялык таасирин </w:t>
      </w:r>
      <w:r>
        <w:rPr>
          <w:lang w:val="ky" w:eastAsia="ky" w:bidi="ky"/>
        </w:rPr>
        <w:t xml:space="preserve">күчөтөт, </w:t>
      </w:r>
      <w:r w:rsidRPr="00116BBA">
        <w:rPr>
          <w:lang w:val="ky"/>
        </w:rPr>
        <w:t xml:space="preserve">ортостатикалык коллапс пайда болушу </w:t>
      </w:r>
      <w:r>
        <w:rPr>
          <w:lang w:val="ky" w:eastAsia="ky" w:bidi="ky"/>
        </w:rPr>
        <w:t>мүмкүн.</w:t>
      </w:r>
    </w:p>
    <w:p w14:paraId="4A2D4CAB" w14:textId="77777777" w:rsidR="002D4B6A" w:rsidRPr="00116BBA" w:rsidRDefault="00AB0766">
      <w:pPr>
        <w:pStyle w:val="1"/>
        <w:spacing w:line="300" w:lineRule="auto"/>
        <w:jc w:val="both"/>
        <w:rPr>
          <w:lang w:val="ky"/>
        </w:rPr>
      </w:pPr>
      <w:r w:rsidRPr="00116BBA">
        <w:rPr>
          <w:lang w:val="ky"/>
        </w:rPr>
        <w:t xml:space="preserve">Фосфодиэстераза ингибиторлору (мисалы, силденафил, варденафил, тадалафил менен) менен бир убакта коштоп колдонулганда препараттын гипотензиялык таасири </w:t>
      </w:r>
      <w:r>
        <w:rPr>
          <w:lang w:val="ky" w:eastAsia="ky" w:bidi="ky"/>
        </w:rPr>
        <w:t xml:space="preserve">күчөйт </w:t>
      </w:r>
      <w:r w:rsidRPr="00116BBA">
        <w:rPr>
          <w:lang w:val="ky"/>
        </w:rPr>
        <w:t xml:space="preserve">(«Карты керсетмелер» жана «Колдонуунун </w:t>
      </w:r>
      <w:r>
        <w:rPr>
          <w:lang w:val="ky" w:eastAsia="ky" w:bidi="ky"/>
        </w:rPr>
        <w:t xml:space="preserve">өзгөчөлүктөрү» бөлүмдөрүн </w:t>
      </w:r>
      <w:r w:rsidRPr="00116BBA">
        <w:rPr>
          <w:lang w:val="ky"/>
        </w:rPr>
        <w:t xml:space="preserve">карацыз). Бул </w:t>
      </w:r>
      <w:r>
        <w:rPr>
          <w:lang w:val="ky" w:eastAsia="ky" w:bidi="ky"/>
        </w:rPr>
        <w:t xml:space="preserve">өмүргө </w:t>
      </w:r>
      <w:r w:rsidRPr="00116BBA">
        <w:rPr>
          <w:lang w:val="ky"/>
        </w:rPr>
        <w:t xml:space="preserve">коркунуч туудурган </w:t>
      </w:r>
      <w:r>
        <w:rPr>
          <w:lang w:val="ky" w:eastAsia="ky" w:bidi="ky"/>
        </w:rPr>
        <w:t xml:space="preserve">жүрөк-кан </w:t>
      </w:r>
      <w:r w:rsidRPr="00116BBA">
        <w:rPr>
          <w:lang w:val="ky"/>
        </w:rPr>
        <w:t xml:space="preserve">тамыр ооруларына алый келиши </w:t>
      </w:r>
      <w:r>
        <w:rPr>
          <w:lang w:val="ky" w:eastAsia="ky" w:bidi="ky"/>
        </w:rPr>
        <w:t xml:space="preserve">мүмкүн. </w:t>
      </w:r>
      <w:r w:rsidRPr="00116BBA">
        <w:rPr>
          <w:lang w:val="ky"/>
        </w:rPr>
        <w:t>Изосорбид динитрат менен дарылоо алган бейтаптар фосфодиэстераза ингибиторлорун (мисалы, силденафил, варденафил, тадалафил) колдонбошу керек.</w:t>
      </w:r>
    </w:p>
    <w:p w14:paraId="46E325B2" w14:textId="77777777" w:rsidR="002D4B6A" w:rsidRPr="00116BBA" w:rsidRDefault="00AB0766">
      <w:pPr>
        <w:pStyle w:val="1"/>
        <w:jc w:val="both"/>
        <w:rPr>
          <w:lang w:val="ky"/>
        </w:rPr>
      </w:pPr>
      <w:r>
        <w:rPr>
          <w:lang w:val="ky" w:eastAsia="ky" w:bidi="ky"/>
        </w:rPr>
        <w:t xml:space="preserve">ИЗО-МИКти гуанилатциклазанын эрүүчү жөнгө салгычы болгон риоцигуатор менен бирге колдонууга каршы көрсөтүлөт («Каршы көрсөтмөлөр» бөлүмүн караңыз), анткени бул кеаражаттарды бир убакта коштоп колдонуу артериялык гипотензияга алып келиши мүмкүн. Жакында </w:t>
      </w:r>
      <w:r w:rsidRPr="00116BBA">
        <w:rPr>
          <w:lang w:val="ky"/>
        </w:rPr>
        <w:t xml:space="preserve">фосфодиэстераза </w:t>
      </w:r>
      <w:r>
        <w:rPr>
          <w:lang w:val="ky" w:eastAsia="ky" w:bidi="ky"/>
        </w:rPr>
        <w:t xml:space="preserve">ингибиторлору (мисалы, </w:t>
      </w:r>
      <w:r w:rsidRPr="00116BBA">
        <w:rPr>
          <w:lang w:val="ky"/>
        </w:rPr>
        <w:t xml:space="preserve">силденафил, </w:t>
      </w:r>
      <w:r>
        <w:rPr>
          <w:lang w:val="ky" w:eastAsia="ky" w:bidi="ky"/>
        </w:rPr>
        <w:t xml:space="preserve">варденафил, тадалафил) менен дарылоо алган бейтаптар курч абалды дарылоо үчүн изосорбид динитратты колдонбошу керек. Кандагы дигидроэрготаминдин концентрациясынын жогорулашын жана аны </w:t>
      </w:r>
      <w:r w:rsidRPr="00116BBA">
        <w:rPr>
          <w:lang w:val="ky"/>
        </w:rPr>
        <w:t xml:space="preserve">препарат менен бирге </w:t>
      </w:r>
      <w:r>
        <w:rPr>
          <w:lang w:val="ky" w:eastAsia="ky" w:bidi="ky"/>
        </w:rPr>
        <w:t xml:space="preserve">кабыл алууда анын таасиринин </w:t>
      </w:r>
      <w:r w:rsidRPr="00116BBA">
        <w:rPr>
          <w:lang w:val="ky"/>
        </w:rPr>
        <w:t xml:space="preserve">жогорулашын </w:t>
      </w:r>
      <w:r>
        <w:rPr>
          <w:lang w:val="ky" w:eastAsia="ky" w:bidi="ky"/>
        </w:rPr>
        <w:t>көрсөткөн кабарлар бар.</w:t>
      </w:r>
    </w:p>
    <w:p w14:paraId="1329F4E2" w14:textId="77777777" w:rsidR="002D4B6A" w:rsidRPr="00116BBA" w:rsidRDefault="00AB0766">
      <w:pPr>
        <w:pStyle w:val="1"/>
        <w:jc w:val="both"/>
        <w:rPr>
          <w:lang w:val="ky"/>
        </w:rPr>
      </w:pPr>
      <w:r>
        <w:rPr>
          <w:lang w:val="ky" w:eastAsia="ky" w:bidi="ky"/>
        </w:rPr>
        <w:t xml:space="preserve">Сапроптерин </w:t>
      </w:r>
      <w:r>
        <w:t xml:space="preserve">(тетрагидробиоптерин, </w:t>
      </w:r>
      <w:r>
        <w:rPr>
          <w:lang w:val="ky" w:eastAsia="ky" w:bidi="ky"/>
        </w:rPr>
        <w:t xml:space="preserve">ВН4) </w:t>
      </w:r>
      <w:r>
        <w:t xml:space="preserve">азот </w:t>
      </w:r>
      <w:r>
        <w:rPr>
          <w:lang w:val="ky" w:eastAsia="ky" w:bidi="ky"/>
        </w:rPr>
        <w:t xml:space="preserve">оксидинин синтетазасынын </w:t>
      </w:r>
      <w:r>
        <w:t xml:space="preserve">кофактору </w:t>
      </w:r>
      <w:r>
        <w:rPr>
          <w:lang w:val="ky" w:eastAsia="ky" w:bidi="ky"/>
        </w:rPr>
        <w:t xml:space="preserve">болуп саналат. Сапроптеринди камтыган препараттар </w:t>
      </w:r>
      <w:r w:rsidRPr="00116BBA">
        <w:rPr>
          <w:lang w:val="ky"/>
        </w:rPr>
        <w:t xml:space="preserve">ар </w:t>
      </w:r>
      <w:r>
        <w:rPr>
          <w:lang w:val="ky" w:eastAsia="ky" w:bidi="ky"/>
        </w:rPr>
        <w:t xml:space="preserve">кандай вазодилаторлор </w:t>
      </w:r>
      <w:r w:rsidRPr="00116BBA">
        <w:rPr>
          <w:lang w:val="ky"/>
        </w:rPr>
        <w:t xml:space="preserve">менен бир </w:t>
      </w:r>
      <w:r>
        <w:rPr>
          <w:lang w:val="ky" w:eastAsia="ky" w:bidi="ky"/>
        </w:rPr>
        <w:t xml:space="preserve">убакта этияттуулукту сактап колдонулат, алардын </w:t>
      </w:r>
      <w:r w:rsidRPr="00116BBA">
        <w:rPr>
          <w:lang w:val="ky"/>
        </w:rPr>
        <w:t xml:space="preserve">таасир </w:t>
      </w:r>
      <w:r>
        <w:rPr>
          <w:lang w:val="ky" w:eastAsia="ky" w:bidi="ky"/>
        </w:rPr>
        <w:t xml:space="preserve">берүү механизми </w:t>
      </w:r>
      <w:r w:rsidRPr="00116BBA">
        <w:rPr>
          <w:lang w:val="ky"/>
        </w:rPr>
        <w:t xml:space="preserve">азот оксидинин зат </w:t>
      </w:r>
      <w:r>
        <w:rPr>
          <w:lang w:val="ky" w:eastAsia="ky" w:bidi="ky"/>
        </w:rPr>
        <w:t xml:space="preserve">алмашуусуна </w:t>
      </w:r>
      <w:r w:rsidRPr="00116BBA">
        <w:rPr>
          <w:lang w:val="ky"/>
        </w:rPr>
        <w:t xml:space="preserve">таасир </w:t>
      </w:r>
      <w:r>
        <w:rPr>
          <w:lang w:val="ky" w:eastAsia="ky" w:bidi="ky"/>
        </w:rPr>
        <w:t xml:space="preserve">берүүсү </w:t>
      </w:r>
      <w:r w:rsidRPr="00116BBA">
        <w:rPr>
          <w:lang w:val="ky"/>
        </w:rPr>
        <w:t xml:space="preserve">менен </w:t>
      </w:r>
      <w:r>
        <w:rPr>
          <w:lang w:val="ky" w:eastAsia="ky" w:bidi="ky"/>
        </w:rPr>
        <w:t xml:space="preserve">байланышкан </w:t>
      </w:r>
      <w:r w:rsidRPr="00116BBA">
        <w:rPr>
          <w:lang w:val="ky"/>
        </w:rPr>
        <w:t xml:space="preserve">же </w:t>
      </w:r>
      <w:r>
        <w:rPr>
          <w:lang w:val="ky" w:eastAsia="ky" w:bidi="ky"/>
        </w:rPr>
        <w:t xml:space="preserve">алар ошондой </w:t>
      </w:r>
      <w:r w:rsidRPr="00116BBA">
        <w:rPr>
          <w:lang w:val="ky"/>
        </w:rPr>
        <w:t xml:space="preserve">эле, азот </w:t>
      </w:r>
      <w:r>
        <w:rPr>
          <w:lang w:val="ky" w:eastAsia="ky" w:bidi="ky"/>
        </w:rPr>
        <w:t xml:space="preserve">кислотасынын классикалык донорлору (анын ичинде </w:t>
      </w:r>
      <w:r w:rsidRPr="00116BBA">
        <w:rPr>
          <w:lang w:val="ky"/>
        </w:rPr>
        <w:t>нитроглицерин, изосорбид динитрат, изосорбид мононитрат жана башкалар) болуп саналат.</w:t>
      </w:r>
    </w:p>
    <w:p w14:paraId="4BA44610" w14:textId="77777777" w:rsidR="002D4B6A" w:rsidRPr="00116BBA" w:rsidRDefault="00AB0766">
      <w:pPr>
        <w:pStyle w:val="1"/>
        <w:spacing w:after="300"/>
        <w:jc w:val="both"/>
        <w:rPr>
          <w:lang w:val="ky"/>
        </w:rPr>
      </w:pPr>
      <w:r w:rsidRPr="00116BBA">
        <w:rPr>
          <w:lang w:val="ky"/>
        </w:rPr>
        <w:t>Норадреналиндин, ацетилхолиндин, гистаминдин таасири нитраттар менен бирге колдонулганда начарлайт, анткени изосорбид динитрат алардын физиологиялык антагонисти боло алат.</w:t>
      </w:r>
    </w:p>
    <w:p w14:paraId="7820A3FC" w14:textId="77777777" w:rsidR="002D4B6A" w:rsidRPr="00116BBA" w:rsidRDefault="00AB0766">
      <w:pPr>
        <w:pStyle w:val="11"/>
        <w:keepNext/>
        <w:keepLines/>
        <w:jc w:val="both"/>
        <w:rPr>
          <w:lang w:val="ky"/>
        </w:rPr>
      </w:pPr>
      <w:bookmarkStart w:id="8" w:name="bookmark16"/>
      <w:r w:rsidRPr="00116BBA">
        <w:rPr>
          <w:lang w:val="ky"/>
        </w:rPr>
        <w:t xml:space="preserve">Колдонуунун </w:t>
      </w:r>
      <w:r>
        <w:rPr>
          <w:lang w:val="ky" w:eastAsia="ky" w:bidi="ky"/>
        </w:rPr>
        <w:t>өзгөчөлүктөрү</w:t>
      </w:r>
      <w:bookmarkEnd w:id="8"/>
    </w:p>
    <w:p w14:paraId="173FE207" w14:textId="77777777" w:rsidR="002D4B6A" w:rsidRPr="00116BBA" w:rsidRDefault="00AB0766">
      <w:pPr>
        <w:pStyle w:val="1"/>
        <w:jc w:val="both"/>
        <w:rPr>
          <w:lang w:val="ky"/>
        </w:rPr>
      </w:pPr>
      <w:r w:rsidRPr="00116BBA">
        <w:rPr>
          <w:lang w:val="ky"/>
        </w:rPr>
        <w:t xml:space="preserve">Препарат </w:t>
      </w:r>
      <w:r>
        <w:rPr>
          <w:lang w:val="ky" w:eastAsia="ky" w:bidi="ky"/>
        </w:rPr>
        <w:t xml:space="preserve">төмөнкү </w:t>
      </w:r>
      <w:r w:rsidRPr="00116BBA">
        <w:rPr>
          <w:lang w:val="ky"/>
        </w:rPr>
        <w:t>учурларда ото этияттык менен жана дайыма медициналык козомол астында дайындалышы керек:</w:t>
      </w:r>
    </w:p>
    <w:p w14:paraId="08CED42E" w14:textId="77777777" w:rsidR="002D4B6A" w:rsidRPr="00116BBA" w:rsidRDefault="00AB0766">
      <w:pPr>
        <w:pStyle w:val="1"/>
        <w:numPr>
          <w:ilvl w:val="0"/>
          <w:numId w:val="1"/>
        </w:numPr>
        <w:tabs>
          <w:tab w:val="left" w:pos="288"/>
        </w:tabs>
        <w:ind w:left="280" w:hanging="280"/>
        <w:jc w:val="both"/>
        <w:rPr>
          <w:lang w:val="ky"/>
        </w:rPr>
      </w:pPr>
      <w:r w:rsidRPr="00116BBA">
        <w:rPr>
          <w:lang w:val="ky"/>
        </w:rPr>
        <w:t xml:space="preserve">томен толтуруу басымы, атап айтканда, курч миокард инфарктында, сол карынчанын функциясынын бузулуусунда (сол карынчанын жетишсиздиги). систоликалык артериялык басымынын 90 мм рт. ст. темен </w:t>
      </w:r>
      <w:r>
        <w:rPr>
          <w:lang w:val="ky" w:eastAsia="ky" w:bidi="ky"/>
        </w:rPr>
        <w:t xml:space="preserve">төмөндөшүнө </w:t>
      </w:r>
      <w:r w:rsidRPr="00116BBA">
        <w:rPr>
          <w:lang w:val="ky"/>
        </w:rPr>
        <w:t>жол бербее керек;</w:t>
      </w:r>
    </w:p>
    <w:p w14:paraId="01AE8D94" w14:textId="77777777" w:rsidR="002D4B6A" w:rsidRDefault="00AB0766">
      <w:pPr>
        <w:pStyle w:val="1"/>
        <w:numPr>
          <w:ilvl w:val="0"/>
          <w:numId w:val="1"/>
        </w:numPr>
        <w:tabs>
          <w:tab w:val="left" w:pos="288"/>
        </w:tabs>
        <w:jc w:val="both"/>
      </w:pPr>
      <w:r>
        <w:t>ортостатикалык дисфункция;</w:t>
      </w:r>
    </w:p>
    <w:p w14:paraId="207A2855" w14:textId="77777777" w:rsidR="002D4B6A" w:rsidRDefault="00AB0766">
      <w:pPr>
        <w:pStyle w:val="1"/>
        <w:numPr>
          <w:ilvl w:val="0"/>
          <w:numId w:val="1"/>
        </w:numPr>
        <w:tabs>
          <w:tab w:val="left" w:pos="288"/>
        </w:tabs>
      </w:pPr>
      <w:r>
        <w:t>туура эмес тамактануу;</w:t>
      </w:r>
    </w:p>
    <w:p w14:paraId="0969F5E3" w14:textId="77777777" w:rsidR="002D4B6A" w:rsidRDefault="00AB0766">
      <w:pPr>
        <w:pStyle w:val="1"/>
        <w:numPr>
          <w:ilvl w:val="0"/>
          <w:numId w:val="1"/>
        </w:numPr>
        <w:tabs>
          <w:tab w:val="left" w:pos="288"/>
        </w:tabs>
      </w:pPr>
      <w:r>
        <w:t>гипотиреоз;</w:t>
      </w:r>
    </w:p>
    <w:p w14:paraId="410AC800" w14:textId="77777777" w:rsidR="002D4B6A" w:rsidRDefault="00AB0766">
      <w:pPr>
        <w:pStyle w:val="1"/>
        <w:numPr>
          <w:ilvl w:val="0"/>
          <w:numId w:val="1"/>
        </w:numPr>
        <w:tabs>
          <w:tab w:val="left" w:pos="288"/>
        </w:tabs>
        <w:ind w:left="280" w:hanging="280"/>
        <w:jc w:val="both"/>
      </w:pPr>
      <w:r>
        <w:t xml:space="preserve">боордун, </w:t>
      </w:r>
      <w:r>
        <w:rPr>
          <w:lang w:val="ky" w:eastAsia="ky" w:bidi="ky"/>
        </w:rPr>
        <w:t xml:space="preserve">бөйрөктүн </w:t>
      </w:r>
      <w:r>
        <w:t xml:space="preserve">жана </w:t>
      </w:r>
      <w:r>
        <w:rPr>
          <w:lang w:val="ky" w:eastAsia="ky" w:bidi="ky"/>
        </w:rPr>
        <w:t xml:space="preserve">жүрөктүн </w:t>
      </w:r>
      <w:r>
        <w:t xml:space="preserve">функциясынын куракка байланыштуу </w:t>
      </w:r>
      <w:r>
        <w:rPr>
          <w:lang w:val="ky" w:eastAsia="ky" w:bidi="ky"/>
        </w:rPr>
        <w:t xml:space="preserve">өзгөрүүлөр, </w:t>
      </w:r>
      <w:r>
        <w:t>коштолгон оорулар жана улгайган бейтаптар башка препараттарды кабыл алган учурда;</w:t>
      </w:r>
    </w:p>
    <w:p w14:paraId="55A78D3A" w14:textId="77777777" w:rsidR="002D4B6A" w:rsidRDefault="00AB0766">
      <w:pPr>
        <w:pStyle w:val="1"/>
        <w:numPr>
          <w:ilvl w:val="0"/>
          <w:numId w:val="1"/>
        </w:numPr>
        <w:tabs>
          <w:tab w:val="left" w:pos="288"/>
        </w:tabs>
        <w:ind w:left="280" w:hanging="280"/>
        <w:jc w:val="both"/>
      </w:pPr>
      <w:r>
        <w:t xml:space="preserve">епке оорусу же </w:t>
      </w:r>
      <w:r>
        <w:rPr>
          <w:lang w:val="ky" w:eastAsia="ky" w:bidi="ky"/>
        </w:rPr>
        <w:t xml:space="preserve">жүрөктүн </w:t>
      </w:r>
      <w:r>
        <w:t xml:space="preserve">ишемиялык оорусу менен байланышкан гипоксемия жана </w:t>
      </w:r>
      <w:r>
        <w:rPr>
          <w:lang w:val="ky" w:eastAsia="ky" w:bidi="ky"/>
        </w:rPr>
        <w:t xml:space="preserve">желдетүү- </w:t>
      </w:r>
      <w:r>
        <w:t>перфузиялык дисбаланс.</w:t>
      </w:r>
    </w:p>
    <w:p w14:paraId="17E1D31F" w14:textId="77777777" w:rsidR="002D4B6A" w:rsidRPr="00116BBA" w:rsidRDefault="00AB0766">
      <w:pPr>
        <w:pStyle w:val="1"/>
        <w:jc w:val="both"/>
        <w:rPr>
          <w:lang w:val="ky"/>
        </w:rPr>
      </w:pPr>
      <w:r>
        <w:t xml:space="preserve">Препароатты инфузиялоо </w:t>
      </w:r>
      <w:r>
        <w:rPr>
          <w:lang w:val="ky" w:eastAsia="ky" w:bidi="ky"/>
        </w:rPr>
        <w:t xml:space="preserve">үчүн </w:t>
      </w:r>
      <w:r>
        <w:t xml:space="preserve">полиэтиленден, полипропиленден же политетрафторэтиленден жасалган системалар колдонулушу </w:t>
      </w:r>
      <w:r>
        <w:rPr>
          <w:lang w:val="ky" w:eastAsia="ky" w:bidi="ky"/>
        </w:rPr>
        <w:t xml:space="preserve">мүмкүн. </w:t>
      </w:r>
      <w:r w:rsidRPr="00116BBA">
        <w:rPr>
          <w:lang w:val="ky"/>
        </w:rPr>
        <w:t xml:space="preserve">Поливинилхлоридден же полиуретандан жасалган инфузиялык системаларды колдонуу адсорбция аркылуу </w:t>
      </w:r>
      <w:r>
        <w:rPr>
          <w:lang w:val="ky" w:eastAsia="ky" w:bidi="ky"/>
        </w:rPr>
        <w:t xml:space="preserve">активдүү </w:t>
      </w:r>
      <w:r w:rsidRPr="00116BBA">
        <w:rPr>
          <w:lang w:val="ky"/>
        </w:rPr>
        <w:t xml:space="preserve">заттын жоголушуна алып келет. Аларды колдонуу зарыл болсо, препараттын дозасын </w:t>
      </w:r>
      <w:r>
        <w:rPr>
          <w:lang w:val="ky" w:eastAsia="ky" w:bidi="ky"/>
        </w:rPr>
        <w:t xml:space="preserve">көбөйтүү </w:t>
      </w:r>
      <w:r w:rsidRPr="00116BBA">
        <w:rPr>
          <w:lang w:val="ky"/>
        </w:rPr>
        <w:t>керек.</w:t>
      </w:r>
    </w:p>
    <w:p w14:paraId="4D6D1910" w14:textId="77777777" w:rsidR="002D4B6A" w:rsidRPr="00116BBA" w:rsidRDefault="00AB0766">
      <w:pPr>
        <w:pStyle w:val="1"/>
        <w:jc w:val="both"/>
        <w:rPr>
          <w:lang w:val="ky"/>
        </w:rPr>
      </w:pPr>
      <w:r w:rsidRPr="00116BBA">
        <w:rPr>
          <w:lang w:val="ky"/>
        </w:rPr>
        <w:t xml:space="preserve">Препарат изосорбид динитратынын ашыкча каныккан эритмеси болгондуктан, кээде суюлтулбаган препаратты колдонууда кристаллдык </w:t>
      </w:r>
      <w:r>
        <w:rPr>
          <w:lang w:val="ky" w:eastAsia="ky" w:bidi="ky"/>
        </w:rPr>
        <w:t xml:space="preserve">чөкмө </w:t>
      </w:r>
      <w:r w:rsidRPr="00116BBA">
        <w:rPr>
          <w:lang w:val="ky"/>
        </w:rPr>
        <w:t xml:space="preserve">пайда болушу </w:t>
      </w:r>
      <w:r>
        <w:rPr>
          <w:lang w:val="ky" w:eastAsia="ky" w:bidi="ky"/>
        </w:rPr>
        <w:t xml:space="preserve">мүмкүн. </w:t>
      </w:r>
      <w:r w:rsidRPr="00116BBA">
        <w:rPr>
          <w:lang w:val="ky"/>
        </w:rPr>
        <w:t xml:space="preserve">Кристаллдар болгон учурда, анын натыйжалуулугу </w:t>
      </w:r>
      <w:r>
        <w:rPr>
          <w:lang w:val="ky" w:eastAsia="ky" w:bidi="ky"/>
        </w:rPr>
        <w:t xml:space="preserve">өзгөрбөсө </w:t>
      </w:r>
      <w:r w:rsidRPr="00116BBA">
        <w:rPr>
          <w:lang w:val="ky"/>
        </w:rPr>
        <w:t>да, эритмени колдонбоо коопсузураак.</w:t>
      </w:r>
    </w:p>
    <w:p w14:paraId="6D675B9E" w14:textId="77777777" w:rsidR="002D4B6A" w:rsidRPr="00116BBA" w:rsidRDefault="00AB0766">
      <w:pPr>
        <w:pStyle w:val="1"/>
        <w:jc w:val="both"/>
        <w:rPr>
          <w:lang w:val="ky"/>
        </w:rPr>
      </w:pPr>
      <w:r w:rsidRPr="00116BBA">
        <w:rPr>
          <w:lang w:val="ky"/>
        </w:rPr>
        <w:t xml:space="preserve">Толеранттуулуктун </w:t>
      </w:r>
      <w:r>
        <w:rPr>
          <w:lang w:val="ky" w:eastAsia="ky" w:bidi="ky"/>
        </w:rPr>
        <w:t xml:space="preserve">өнүгүшү </w:t>
      </w:r>
      <w:r w:rsidRPr="00116BBA">
        <w:rPr>
          <w:lang w:val="ky"/>
        </w:rPr>
        <w:t xml:space="preserve">(натыйжалуулукту </w:t>
      </w:r>
      <w:r>
        <w:rPr>
          <w:lang w:val="ky" w:eastAsia="ky" w:bidi="ky"/>
        </w:rPr>
        <w:t xml:space="preserve">төмөндөтүү), </w:t>
      </w:r>
      <w:r w:rsidRPr="00116BBA">
        <w:rPr>
          <w:lang w:val="ky"/>
        </w:rPr>
        <w:t xml:space="preserve">ошондой эле нитрат классынын башка препараттарына кайчылаш толеранттуулуктун (нитраттарга </w:t>
      </w:r>
      <w:r>
        <w:rPr>
          <w:lang w:val="ky" w:eastAsia="ky" w:bidi="ky"/>
        </w:rPr>
        <w:t xml:space="preserve">тиешелүү </w:t>
      </w:r>
      <w:r w:rsidRPr="00116BBA">
        <w:rPr>
          <w:lang w:val="ky"/>
        </w:rPr>
        <w:t xml:space="preserve">башка дары каражаттар менен алдын ала дарылоодо натыйжанын </w:t>
      </w:r>
      <w:r>
        <w:rPr>
          <w:lang w:val="ky" w:eastAsia="ky" w:bidi="ky"/>
        </w:rPr>
        <w:t xml:space="preserve">төмөндөшү) сүрөттөлгөн. </w:t>
      </w:r>
      <w:r w:rsidRPr="00116BBA">
        <w:rPr>
          <w:lang w:val="ky"/>
        </w:rPr>
        <w:t xml:space="preserve">Натыйжанын </w:t>
      </w:r>
      <w:r>
        <w:rPr>
          <w:lang w:val="ky" w:eastAsia="ky" w:bidi="ky"/>
        </w:rPr>
        <w:t xml:space="preserve">төмөндөшүн </w:t>
      </w:r>
      <w:r w:rsidRPr="00116BBA">
        <w:rPr>
          <w:lang w:val="ky"/>
        </w:rPr>
        <w:t xml:space="preserve">же жок болушунун алдын алуу </w:t>
      </w:r>
      <w:r>
        <w:rPr>
          <w:lang w:val="ky" w:eastAsia="ky" w:bidi="ky"/>
        </w:rPr>
        <w:t xml:space="preserve">үчүн, </w:t>
      </w:r>
      <w:r w:rsidRPr="00116BBA">
        <w:rPr>
          <w:lang w:val="ky"/>
        </w:rPr>
        <w:t xml:space="preserve">препаратты жогорку дозаларда узак </w:t>
      </w:r>
      <w:r>
        <w:rPr>
          <w:lang w:val="ky" w:eastAsia="ky" w:bidi="ky"/>
        </w:rPr>
        <w:t xml:space="preserve">мөөнөттүү </w:t>
      </w:r>
      <w:r w:rsidRPr="00116BBA">
        <w:rPr>
          <w:lang w:val="ky"/>
        </w:rPr>
        <w:t>колдонуудан алые болуу керек.</w:t>
      </w:r>
    </w:p>
    <w:p w14:paraId="3132B050" w14:textId="77777777" w:rsidR="002D4B6A" w:rsidRPr="00116BBA" w:rsidRDefault="00AB0766">
      <w:pPr>
        <w:pStyle w:val="1"/>
        <w:jc w:val="both"/>
        <w:rPr>
          <w:lang w:val="ky"/>
        </w:rPr>
      </w:pPr>
      <w:r w:rsidRPr="00116BBA">
        <w:rPr>
          <w:lang w:val="ky"/>
        </w:rPr>
        <w:t xml:space="preserve">Изосорбид динитрат менен колдоо </w:t>
      </w:r>
      <w:r>
        <w:rPr>
          <w:lang w:val="ky" w:eastAsia="ky" w:bidi="ky"/>
        </w:rPr>
        <w:t xml:space="preserve">көрсөтүүчү </w:t>
      </w:r>
      <w:r w:rsidRPr="00116BBA">
        <w:rPr>
          <w:lang w:val="ky"/>
        </w:rPr>
        <w:t xml:space="preserve">дарылоону алып жаткан бейтаптар фосфодиэстераза ингибиторлорун камтыган препараттарды (мисалы, силденафил, тадалафил, варденафил) колдонбошу керектиги </w:t>
      </w:r>
      <w:r>
        <w:rPr>
          <w:lang w:val="ky" w:eastAsia="ky" w:bidi="ky"/>
        </w:rPr>
        <w:t xml:space="preserve">жөнүндө </w:t>
      </w:r>
      <w:r w:rsidRPr="00116BBA">
        <w:rPr>
          <w:lang w:val="ky"/>
        </w:rPr>
        <w:t xml:space="preserve">маалымдалышы керек. Фосфодиэстераза ингибиторлорун камтыган препараттарды (мисалы, силденафил, тадалафил, варденафил) кабыл алуу </w:t>
      </w:r>
      <w:r>
        <w:rPr>
          <w:lang w:val="ky" w:eastAsia="ky" w:bidi="ky"/>
        </w:rPr>
        <w:t xml:space="preserve">үчүн </w:t>
      </w:r>
      <w:r w:rsidRPr="00116BBA">
        <w:rPr>
          <w:lang w:val="ky"/>
        </w:rPr>
        <w:t xml:space="preserve">изосорбид динитрат менен дарылоону </w:t>
      </w:r>
      <w:r>
        <w:rPr>
          <w:lang w:val="ky" w:eastAsia="ky" w:bidi="ky"/>
        </w:rPr>
        <w:t xml:space="preserve">үзгүлтүккө </w:t>
      </w:r>
      <w:r w:rsidRPr="00116BBA">
        <w:rPr>
          <w:lang w:val="ky"/>
        </w:rPr>
        <w:t xml:space="preserve">учуратпоо керек, анткени бул стенокардия оорусунун пайда болуу коркунучун жогорулатат («Карты корсотмолор» жана «Башка дары каражаттар менен оз ара </w:t>
      </w:r>
      <w:r>
        <w:rPr>
          <w:lang w:val="ky" w:eastAsia="ky" w:bidi="ky"/>
        </w:rPr>
        <w:t xml:space="preserve">таасирденүүсү </w:t>
      </w:r>
      <w:r w:rsidRPr="00116BBA">
        <w:rPr>
          <w:lang w:val="ky"/>
        </w:rPr>
        <w:t xml:space="preserve">жана оз ара </w:t>
      </w:r>
      <w:r>
        <w:rPr>
          <w:lang w:val="ky" w:eastAsia="ky" w:bidi="ky"/>
        </w:rPr>
        <w:t xml:space="preserve">таасирденүүнүн </w:t>
      </w:r>
      <w:r w:rsidRPr="00116BBA">
        <w:rPr>
          <w:lang w:val="ky"/>
        </w:rPr>
        <w:t xml:space="preserve">башка </w:t>
      </w:r>
      <w:r>
        <w:rPr>
          <w:lang w:val="ky" w:eastAsia="ky" w:bidi="ky"/>
        </w:rPr>
        <w:t>түрлөрү» бөлүмдөрүн караңыз).</w:t>
      </w:r>
    </w:p>
    <w:p w14:paraId="00A2C6E8" w14:textId="77777777" w:rsidR="002D4B6A" w:rsidRPr="00116BBA" w:rsidRDefault="00AB0766">
      <w:pPr>
        <w:pStyle w:val="1"/>
        <w:jc w:val="both"/>
        <w:rPr>
          <w:lang w:val="ky"/>
        </w:rPr>
      </w:pPr>
      <w:r w:rsidRPr="00116BBA">
        <w:rPr>
          <w:lang w:val="ky"/>
        </w:rPr>
        <w:t>Жакында эле фосфодиэстераза ингибиторлорун (мисалы, силденафил, тадалафил, варденафил) кабыл алган бейтаптарга изосорбид динитрат менен шашылыш дарылоо алууга болбойт.</w:t>
      </w:r>
    </w:p>
    <w:p w14:paraId="7FB55D96" w14:textId="77777777" w:rsidR="002D4B6A" w:rsidRPr="00116BBA" w:rsidRDefault="00AB0766">
      <w:pPr>
        <w:pStyle w:val="1"/>
        <w:jc w:val="both"/>
        <w:rPr>
          <w:lang w:val="ky"/>
        </w:rPr>
      </w:pPr>
      <w:r w:rsidRPr="00116BBA">
        <w:rPr>
          <w:lang w:val="ky"/>
        </w:rPr>
        <w:t xml:space="preserve">Изосорбид динитратын шашылыш дарылоо катары кабыл алый жаткан бейтаптарга фосфодиэстераза ингибиторлорун камтыган препараттарды (мисалы, силденафил, тадалафил, варденафил) колдонуунун коркунучу </w:t>
      </w:r>
      <w:r>
        <w:rPr>
          <w:lang w:val="ky" w:eastAsia="ky" w:bidi="ky"/>
        </w:rPr>
        <w:t xml:space="preserve">жөнүндө эскертүү </w:t>
      </w:r>
      <w:r w:rsidRPr="00116BBA">
        <w:rPr>
          <w:lang w:val="ky"/>
        </w:rPr>
        <w:t xml:space="preserve">керек («Карты корсотмолор» жана «Башка дары каражаттары менен оз ара таасири жана оз ара таасирдин башка </w:t>
      </w:r>
      <w:r>
        <w:rPr>
          <w:lang w:val="ky" w:eastAsia="ky" w:bidi="ky"/>
        </w:rPr>
        <w:t>түрлөрү» бөлүмдөрүн караңыз).</w:t>
      </w:r>
    </w:p>
    <w:p w14:paraId="6BD4433E" w14:textId="77777777" w:rsidR="002D4B6A" w:rsidRPr="00116BBA" w:rsidRDefault="00AB0766">
      <w:pPr>
        <w:pStyle w:val="1"/>
        <w:jc w:val="both"/>
        <w:rPr>
          <w:lang w:val="ky"/>
        </w:rPr>
      </w:pPr>
      <w:r w:rsidRPr="00116BBA">
        <w:rPr>
          <w:lang w:val="ky"/>
        </w:rPr>
        <w:t xml:space="preserve">Бейтаптар изосорбид динитраттын ангинага карты таасири анын дозалоо режимы менен тыгыз байланышта экенин эскертиш керек, ошондуктан сунушталган дозалоо графигин кылдаттык менен сактоо керек. Артериялык гипотензияны жана "нитраттык" баш ооруну алдын алуу </w:t>
      </w:r>
      <w:r>
        <w:rPr>
          <w:lang w:val="ky" w:eastAsia="ky" w:bidi="ky"/>
        </w:rPr>
        <w:t xml:space="preserve">үчүн </w:t>
      </w:r>
      <w:r w:rsidRPr="00116BBA">
        <w:rPr>
          <w:lang w:val="ky"/>
        </w:rPr>
        <w:t xml:space="preserve">дарылоону минималдуу дозадан баштоо керек. Препарат менен дарылоо ортостатикалык реакциялардын </w:t>
      </w:r>
      <w:r>
        <w:rPr>
          <w:lang w:val="ky" w:eastAsia="ky" w:bidi="ky"/>
        </w:rPr>
        <w:t xml:space="preserve">өнүгүшүнө </w:t>
      </w:r>
      <w:r w:rsidRPr="00116BBA">
        <w:rPr>
          <w:lang w:val="ky"/>
        </w:rPr>
        <w:t xml:space="preserve">алый келиши </w:t>
      </w:r>
      <w:r>
        <w:rPr>
          <w:lang w:val="ky" w:eastAsia="ky" w:bidi="ky"/>
        </w:rPr>
        <w:t xml:space="preserve">мүмкүн, </w:t>
      </w:r>
      <w:r w:rsidRPr="00116BBA">
        <w:rPr>
          <w:lang w:val="ky"/>
        </w:rPr>
        <w:t xml:space="preserve">алар коп учурда спирт ичимдиктерин же вазодилаторлорду бир убакта колдонуу менен пайда болот. </w:t>
      </w:r>
      <w:r>
        <w:rPr>
          <w:lang w:val="ky" w:eastAsia="ky" w:bidi="ky"/>
        </w:rPr>
        <w:t xml:space="preserve">Глюкоза-6-фосфатдегидрогеназанын </w:t>
      </w:r>
      <w:r w:rsidRPr="00116BBA">
        <w:rPr>
          <w:lang w:val="ky"/>
        </w:rPr>
        <w:t xml:space="preserve">жетишсиздиги менен ооругандар изосорбид динитратын колдонууда курч гемолиз (фавизм) пайда болушу </w:t>
      </w:r>
      <w:r>
        <w:rPr>
          <w:lang w:val="ky" w:eastAsia="ky" w:bidi="ky"/>
        </w:rPr>
        <w:t xml:space="preserve">мүмкүн. </w:t>
      </w:r>
      <w:r w:rsidRPr="00116BBA">
        <w:rPr>
          <w:lang w:val="ky"/>
        </w:rPr>
        <w:t xml:space="preserve">Изосорбид динитраттын кабыл алынышы холестеролду колориметрдик аныктоонун натыйжаларына таасир этиши </w:t>
      </w:r>
      <w:r>
        <w:rPr>
          <w:lang w:val="ky" w:eastAsia="ky" w:bidi="ky"/>
        </w:rPr>
        <w:t xml:space="preserve">мүмкүн. </w:t>
      </w:r>
      <w:r w:rsidRPr="00116BBA">
        <w:rPr>
          <w:lang w:val="ky"/>
        </w:rPr>
        <w:t>Препаратты дозасын акырындык менен азайтуу менен токтотуу керек.</w:t>
      </w:r>
    </w:p>
    <w:p w14:paraId="4924A1BA" w14:textId="77777777" w:rsidR="002D4B6A" w:rsidRPr="00116BBA" w:rsidRDefault="00AB0766">
      <w:pPr>
        <w:pStyle w:val="1"/>
        <w:jc w:val="both"/>
        <w:rPr>
          <w:lang w:val="ky"/>
        </w:rPr>
      </w:pPr>
      <w:r w:rsidRPr="00116BBA">
        <w:rPr>
          <w:lang w:val="ky"/>
        </w:rPr>
        <w:t xml:space="preserve">ИЗО-МИК 1 мл де 0,15 ммоль (3,54 мг) натрийди камтыйт, ошондуктан изосорбид динитратын колдонгон бейтаптар тамак-аштагы натрийдин камтылуусун </w:t>
      </w:r>
      <w:r>
        <w:rPr>
          <w:lang w:val="ky" w:eastAsia="ky" w:bidi="ky"/>
        </w:rPr>
        <w:t xml:space="preserve">көзөмөлдөшү </w:t>
      </w:r>
      <w:r w:rsidRPr="00116BBA">
        <w:rPr>
          <w:lang w:val="ky"/>
        </w:rPr>
        <w:t>керек.</w:t>
      </w:r>
    </w:p>
    <w:p w14:paraId="1D5D2E52" w14:textId="77777777" w:rsidR="002D4B6A" w:rsidRPr="00116BBA" w:rsidRDefault="00AB0766">
      <w:pPr>
        <w:pStyle w:val="1"/>
        <w:spacing w:after="300"/>
        <w:jc w:val="both"/>
        <w:rPr>
          <w:lang w:val="ky"/>
        </w:rPr>
      </w:pPr>
      <w:r w:rsidRPr="00116BBA">
        <w:rPr>
          <w:lang w:val="ky"/>
        </w:rPr>
        <w:t xml:space="preserve">Инфузиялык </w:t>
      </w:r>
      <w:r>
        <w:rPr>
          <w:lang w:val="ky" w:eastAsia="ky" w:bidi="ky"/>
        </w:rPr>
        <w:t xml:space="preserve">түтүктү </w:t>
      </w:r>
      <w:r w:rsidRPr="00116BBA">
        <w:rPr>
          <w:lang w:val="ky"/>
        </w:rPr>
        <w:t>перфузордун ийнеси алмаштырылган бардык убакта алмаштыруу керек.</w:t>
      </w:r>
    </w:p>
    <w:p w14:paraId="1AC6B9C9" w14:textId="77777777" w:rsidR="002D4B6A" w:rsidRDefault="00AB0766">
      <w:pPr>
        <w:pStyle w:val="1"/>
        <w:spacing w:line="300" w:lineRule="auto"/>
        <w:jc w:val="both"/>
      </w:pPr>
      <w:r>
        <w:rPr>
          <w:i/>
          <w:iCs/>
        </w:rPr>
        <w:t xml:space="preserve">Кош боилуулук же бала </w:t>
      </w:r>
      <w:r>
        <w:rPr>
          <w:i/>
          <w:iCs/>
          <w:lang w:val="ky" w:eastAsia="ky" w:bidi="ky"/>
        </w:rPr>
        <w:t xml:space="preserve">эмизүү </w:t>
      </w:r>
      <w:r>
        <w:rPr>
          <w:i/>
          <w:iCs/>
        </w:rPr>
        <w:t>мезгилинде колдонуу.</w:t>
      </w:r>
    </w:p>
    <w:p w14:paraId="54D21E1F" w14:textId="77777777" w:rsidR="002D4B6A" w:rsidRDefault="00AB0766">
      <w:pPr>
        <w:pStyle w:val="1"/>
        <w:spacing w:line="300" w:lineRule="auto"/>
        <w:jc w:val="both"/>
      </w:pPr>
      <w:r>
        <w:t xml:space="preserve">Карты </w:t>
      </w:r>
      <w:r>
        <w:rPr>
          <w:lang w:val="ky" w:eastAsia="ky" w:bidi="ky"/>
        </w:rPr>
        <w:t>көрсөтүлгөн.</w:t>
      </w:r>
    </w:p>
    <w:p w14:paraId="1BDA7DC1" w14:textId="77777777" w:rsidR="002D4B6A" w:rsidRDefault="00AB0766">
      <w:pPr>
        <w:pStyle w:val="1"/>
        <w:spacing w:line="300" w:lineRule="auto"/>
        <w:jc w:val="both"/>
      </w:pPr>
      <w:r>
        <w:rPr>
          <w:u w:val="single"/>
        </w:rPr>
        <w:t>Фертилдуулук,</w:t>
      </w:r>
    </w:p>
    <w:p w14:paraId="28171D92" w14:textId="77777777" w:rsidR="002D4B6A" w:rsidRDefault="00AB0766">
      <w:pPr>
        <w:pStyle w:val="1"/>
        <w:spacing w:after="300" w:line="300" w:lineRule="auto"/>
        <w:jc w:val="both"/>
      </w:pPr>
      <w:r>
        <w:t xml:space="preserve">ИЗО-МИК препаратынын адамдын </w:t>
      </w:r>
      <w:r>
        <w:rPr>
          <w:lang w:val="ky" w:eastAsia="ky" w:bidi="ky"/>
        </w:rPr>
        <w:t xml:space="preserve">фертилдүүлүгүнө </w:t>
      </w:r>
      <w:r>
        <w:t xml:space="preserve">тийгизген таасири </w:t>
      </w:r>
      <w:r>
        <w:rPr>
          <w:lang w:val="ky" w:eastAsia="ky" w:bidi="ky"/>
        </w:rPr>
        <w:t xml:space="preserve">жөнүндө </w:t>
      </w:r>
      <w:r>
        <w:t>маалыматтар жок.</w:t>
      </w:r>
    </w:p>
    <w:p w14:paraId="19D63652" w14:textId="77777777" w:rsidR="002D4B6A" w:rsidRDefault="00AB0766">
      <w:pPr>
        <w:pStyle w:val="1"/>
        <w:jc w:val="both"/>
      </w:pPr>
      <w:r>
        <w:rPr>
          <w:i/>
          <w:iCs/>
        </w:rPr>
        <w:t xml:space="preserve">Авто унаа же башка механизмдерди башкарууда реакциянын ылдамдыгына таасир </w:t>
      </w:r>
      <w:r>
        <w:rPr>
          <w:i/>
          <w:iCs/>
          <w:lang w:val="ky" w:eastAsia="ky" w:bidi="ky"/>
        </w:rPr>
        <w:t>этүү жөндөмдүүлүгү.</w:t>
      </w:r>
    </w:p>
    <w:p w14:paraId="49EE97D1" w14:textId="77777777" w:rsidR="002D4B6A" w:rsidRDefault="00AB0766">
      <w:pPr>
        <w:pStyle w:val="1"/>
        <w:spacing w:after="300"/>
        <w:jc w:val="both"/>
      </w:pPr>
      <w:r>
        <w:t xml:space="preserve">Дарылоо мезгилинде унаа каражаттарын айдоо жана башка потенциалдуу кооптуу иштер менен </w:t>
      </w:r>
      <w:r>
        <w:rPr>
          <w:lang w:val="ky" w:eastAsia="ky" w:bidi="ky"/>
        </w:rPr>
        <w:t xml:space="preserve">алектенүү </w:t>
      </w:r>
      <w:r>
        <w:t xml:space="preserve">сунушталбайт, анткени изосорбид динитратын </w:t>
      </w:r>
      <w:r>
        <w:rPr>
          <w:lang w:val="ky" w:eastAsia="ky" w:bidi="ky"/>
        </w:rPr>
        <w:t xml:space="preserve">үзгүлтүксүз </w:t>
      </w:r>
      <w:r>
        <w:t xml:space="preserve">колдонуу концентрацияны жана психомотордук реакциялардын ылдамдыгын томондотот. Бул таасир алкоголь менен </w:t>
      </w:r>
      <w:r>
        <w:rPr>
          <w:lang w:val="ky" w:eastAsia="ky" w:bidi="ky"/>
        </w:rPr>
        <w:t>күчөтүлөт.</w:t>
      </w:r>
    </w:p>
    <w:p w14:paraId="61431752" w14:textId="77777777" w:rsidR="002D4B6A" w:rsidRDefault="00AB0766">
      <w:pPr>
        <w:pStyle w:val="11"/>
        <w:keepNext/>
        <w:keepLines/>
        <w:spacing w:line="300" w:lineRule="auto"/>
        <w:jc w:val="both"/>
      </w:pPr>
      <w:bookmarkStart w:id="9" w:name="bookmark18"/>
      <w:r>
        <w:t>Колдонуу жолу жана дозалар</w:t>
      </w:r>
      <w:bookmarkEnd w:id="9"/>
    </w:p>
    <w:p w14:paraId="65E2A24B" w14:textId="77777777" w:rsidR="002D4B6A" w:rsidRDefault="00AB0766">
      <w:pPr>
        <w:pStyle w:val="1"/>
        <w:spacing w:line="300" w:lineRule="auto"/>
        <w:jc w:val="both"/>
      </w:pPr>
      <w:r>
        <w:rPr>
          <w:i/>
          <w:iCs/>
        </w:rPr>
        <w:t xml:space="preserve">Препарат </w:t>
      </w:r>
      <w:r>
        <w:rPr>
          <w:i/>
          <w:iCs/>
          <w:lang w:val="ky" w:eastAsia="ky" w:bidi="ky"/>
        </w:rPr>
        <w:t xml:space="preserve">интенсивдүү </w:t>
      </w:r>
      <w:r>
        <w:rPr>
          <w:i/>
          <w:iCs/>
        </w:rPr>
        <w:t xml:space="preserve">дарылоо </w:t>
      </w:r>
      <w:r>
        <w:rPr>
          <w:i/>
          <w:iCs/>
          <w:lang w:val="ky" w:eastAsia="ky" w:bidi="ky"/>
        </w:rPr>
        <w:t xml:space="preserve">үчүн </w:t>
      </w:r>
      <w:r>
        <w:rPr>
          <w:i/>
          <w:iCs/>
        </w:rPr>
        <w:t>кок кан тамыр ичине чоцдордо стационар шартында ооруканада гана колдонулат!</w:t>
      </w:r>
    </w:p>
    <w:p w14:paraId="4278FA9A" w14:textId="77777777" w:rsidR="002D4B6A" w:rsidRDefault="00AB0766">
      <w:pPr>
        <w:pStyle w:val="1"/>
        <w:spacing w:line="300" w:lineRule="auto"/>
        <w:jc w:val="both"/>
      </w:pPr>
      <w:r>
        <w:t xml:space="preserve">Доза клиникалык жана гемодинамикалык параметрлерге туруктуу мониторинг </w:t>
      </w:r>
      <w:r>
        <w:rPr>
          <w:lang w:val="ky" w:eastAsia="ky" w:bidi="ky"/>
        </w:rPr>
        <w:t xml:space="preserve">жүргүзүү </w:t>
      </w:r>
      <w:r>
        <w:t xml:space="preserve">менен клиникалык </w:t>
      </w:r>
      <w:r>
        <w:rPr>
          <w:lang w:val="ky" w:eastAsia="ky" w:bidi="ky"/>
        </w:rPr>
        <w:t xml:space="preserve">көрүнүштү </w:t>
      </w:r>
      <w:r>
        <w:t>жана бейтаптын абалын эске алуу менен жекече аныкталат.</w:t>
      </w:r>
    </w:p>
    <w:p w14:paraId="3632BA3E" w14:textId="77777777" w:rsidR="002D4B6A" w:rsidRPr="00116BBA" w:rsidRDefault="00AB0766">
      <w:pPr>
        <w:pStyle w:val="1"/>
        <w:spacing w:line="300" w:lineRule="auto"/>
        <w:jc w:val="both"/>
        <w:rPr>
          <w:lang w:val="ky"/>
        </w:rPr>
      </w:pPr>
      <w:r>
        <w:rPr>
          <w:u w:val="single"/>
        </w:rPr>
        <w:t>Кок кан тамыр ичине тамчылатып, Д</w:t>
      </w:r>
      <w:r>
        <w:t xml:space="preserve">арылоо 1-2 мг/саат дозасынан башталат, акырындык менен аны оптималдуу дарылык таасирди камсыз кылуу </w:t>
      </w:r>
      <w:r>
        <w:rPr>
          <w:lang w:val="ky" w:eastAsia="ky" w:bidi="ky"/>
        </w:rPr>
        <w:t xml:space="preserve">үчүн </w:t>
      </w:r>
      <w:r>
        <w:t xml:space="preserve">зарыл болгон децгээлге жеткирет. Максималдуу дозасы, адатта, 8-10 мг / сааттан ашпайт, бирок </w:t>
      </w:r>
      <w:r>
        <w:rPr>
          <w:lang w:val="ky" w:eastAsia="ky" w:bidi="ky"/>
        </w:rPr>
        <w:t xml:space="preserve">жүрөк </w:t>
      </w:r>
      <w:r>
        <w:t xml:space="preserve">жетишсиздиги менен ооруган бейтаптар </w:t>
      </w:r>
      <w:r>
        <w:rPr>
          <w:lang w:val="ky" w:eastAsia="ky" w:bidi="ky"/>
        </w:rPr>
        <w:t xml:space="preserve">үчүн, </w:t>
      </w:r>
      <w:r>
        <w:t xml:space="preserve">бул доза 10-50 мг / саатка чейин </w:t>
      </w:r>
      <w:r>
        <w:rPr>
          <w:lang w:val="ky" w:eastAsia="ky" w:bidi="ky"/>
        </w:rPr>
        <w:t xml:space="preserve">көбөйтүлүшү мүмкүн. </w:t>
      </w:r>
      <w:r w:rsidRPr="00116BBA">
        <w:rPr>
          <w:lang w:val="ky"/>
        </w:rPr>
        <w:t xml:space="preserve">Мурда изосорбид динитрат же изосорбид-5-мононитрат сыяктуу органикалык нитрат кошулмалары менен дарылоо алган бейтаптар </w:t>
      </w:r>
      <w:r>
        <w:rPr>
          <w:lang w:val="ky" w:eastAsia="ky" w:bidi="ky"/>
        </w:rPr>
        <w:t xml:space="preserve">үчүн керектүү </w:t>
      </w:r>
      <w:r w:rsidRPr="00116BBA">
        <w:rPr>
          <w:lang w:val="ky"/>
        </w:rPr>
        <w:t xml:space="preserve">гемодинамикалык натыйжага </w:t>
      </w:r>
      <w:r>
        <w:rPr>
          <w:lang w:val="ky" w:eastAsia="ky" w:bidi="ky"/>
        </w:rPr>
        <w:t xml:space="preserve">жетүү үчүн </w:t>
      </w:r>
      <w:r w:rsidRPr="00116BBA">
        <w:rPr>
          <w:lang w:val="ky"/>
        </w:rPr>
        <w:t xml:space="preserve">препараттын жогорку дозалары талап кылынышы </w:t>
      </w:r>
      <w:r>
        <w:rPr>
          <w:lang w:val="ky" w:eastAsia="ky" w:bidi="ky"/>
        </w:rPr>
        <w:t>мүмкүн.</w:t>
      </w:r>
    </w:p>
    <w:p w14:paraId="531F9D43" w14:textId="77777777" w:rsidR="002D4B6A" w:rsidRPr="00116BBA" w:rsidRDefault="00AB0766">
      <w:pPr>
        <w:pStyle w:val="1"/>
        <w:jc w:val="both"/>
        <w:rPr>
          <w:lang w:val="ky"/>
        </w:rPr>
      </w:pPr>
      <w:r w:rsidRPr="00116BBA">
        <w:rPr>
          <w:i/>
          <w:iCs/>
          <w:lang w:val="ky"/>
        </w:rPr>
        <w:t>Улгайган курактагы бейтаптар.</w:t>
      </w:r>
    </w:p>
    <w:p w14:paraId="7EE0EAC7" w14:textId="77777777" w:rsidR="002D4B6A" w:rsidRPr="00116BBA" w:rsidRDefault="00AB0766">
      <w:pPr>
        <w:pStyle w:val="1"/>
        <w:jc w:val="both"/>
        <w:rPr>
          <w:lang w:val="ky"/>
        </w:rPr>
      </w:pPr>
      <w:r w:rsidRPr="00116BBA">
        <w:rPr>
          <w:lang w:val="ky"/>
        </w:rPr>
        <w:t xml:space="preserve">Улгайган курактагы бейтаптарда дозасын тууралоо зарылдыгы </w:t>
      </w:r>
      <w:r>
        <w:rPr>
          <w:lang w:val="ky" w:eastAsia="ky" w:bidi="ky"/>
        </w:rPr>
        <w:t xml:space="preserve">жөнүндө </w:t>
      </w:r>
      <w:r w:rsidRPr="00116BBA">
        <w:rPr>
          <w:lang w:val="ky"/>
        </w:rPr>
        <w:t>маалыматтар жок.</w:t>
      </w:r>
    </w:p>
    <w:p w14:paraId="159BD386" w14:textId="77777777" w:rsidR="002D4B6A" w:rsidRPr="00116BBA" w:rsidRDefault="00AB0766">
      <w:pPr>
        <w:pStyle w:val="1"/>
        <w:jc w:val="both"/>
        <w:rPr>
          <w:lang w:val="ky"/>
        </w:rPr>
      </w:pPr>
      <w:r w:rsidRPr="00116BBA">
        <w:rPr>
          <w:i/>
          <w:iCs/>
          <w:lang w:val="ky"/>
        </w:rPr>
        <w:t>Педиатриялык популяция.</w:t>
      </w:r>
    </w:p>
    <w:p w14:paraId="160E7FA4" w14:textId="77777777" w:rsidR="002D4B6A" w:rsidRDefault="00AB0766">
      <w:pPr>
        <w:pStyle w:val="1"/>
        <w:jc w:val="both"/>
      </w:pPr>
      <w:r w:rsidRPr="00116BBA">
        <w:rPr>
          <w:lang w:val="ky"/>
        </w:rPr>
        <w:t xml:space="preserve">Балдарда изосорбид динитраттын коопсуздугу жана натыйжалуулугу азырынча аныктала элек. </w:t>
      </w:r>
      <w:r>
        <w:rPr>
          <w:u w:val="single"/>
        </w:rPr>
        <w:t>Колдонуу жолу</w:t>
      </w:r>
      <w:r>
        <w:t>.</w:t>
      </w:r>
    </w:p>
    <w:p w14:paraId="454386C0" w14:textId="77777777" w:rsidR="002D4B6A" w:rsidRDefault="00AB0766">
      <w:pPr>
        <w:pStyle w:val="1"/>
        <w:jc w:val="both"/>
      </w:pPr>
      <w:r>
        <w:t>0,1% препараттын эритмеси:</w:t>
      </w:r>
    </w:p>
    <w:p w14:paraId="4A955B3A" w14:textId="77777777" w:rsidR="002D4B6A" w:rsidRDefault="00AB0766">
      <w:pPr>
        <w:pStyle w:val="1"/>
        <w:numPr>
          <w:ilvl w:val="0"/>
          <w:numId w:val="2"/>
        </w:numPr>
        <w:tabs>
          <w:tab w:val="left" w:pos="291"/>
        </w:tabs>
        <w:ind w:left="300" w:hanging="300"/>
        <w:jc w:val="both"/>
      </w:pPr>
      <w:r>
        <w:rPr>
          <w:i/>
          <w:iCs/>
        </w:rPr>
        <w:t>мурда суюлтулган,</w:t>
      </w:r>
      <w:r>
        <w:t xml:space="preserve"> автоматтык инфузиялык системаларды колдонуу менен </w:t>
      </w:r>
      <w:r>
        <w:rPr>
          <w:lang w:val="ky" w:eastAsia="ky" w:bidi="ky"/>
        </w:rPr>
        <w:t xml:space="preserve">үзгүлтүксүз </w:t>
      </w:r>
      <w:r>
        <w:t xml:space="preserve">инфузия </w:t>
      </w:r>
      <w:r>
        <w:rPr>
          <w:lang w:val="ky" w:eastAsia="ky" w:bidi="ky"/>
        </w:rPr>
        <w:t>түрүндө;</w:t>
      </w:r>
    </w:p>
    <w:p w14:paraId="5ED993FD" w14:textId="77777777" w:rsidR="002D4B6A" w:rsidRDefault="00AB0766">
      <w:pPr>
        <w:pStyle w:val="1"/>
        <w:numPr>
          <w:ilvl w:val="0"/>
          <w:numId w:val="2"/>
        </w:numPr>
        <w:tabs>
          <w:tab w:val="left" w:pos="291"/>
        </w:tabs>
        <w:ind w:left="300" w:hanging="300"/>
        <w:jc w:val="both"/>
      </w:pPr>
      <w:r>
        <w:rPr>
          <w:i/>
          <w:iCs/>
        </w:rPr>
        <w:t>суюлтулган эмес</w:t>
      </w:r>
      <w:r>
        <w:t xml:space="preserve"> </w:t>
      </w:r>
      <w:r>
        <w:rPr>
          <w:lang w:val="ky" w:eastAsia="ky" w:bidi="ky"/>
        </w:rPr>
        <w:t xml:space="preserve">жүрөк-кан </w:t>
      </w:r>
      <w:r>
        <w:t xml:space="preserve">тамыр системасынын </w:t>
      </w:r>
      <w:r>
        <w:rPr>
          <w:lang w:val="ky" w:eastAsia="ky" w:bidi="ky"/>
        </w:rPr>
        <w:t xml:space="preserve">көрсөткүчтөрүн </w:t>
      </w:r>
      <w:r>
        <w:t xml:space="preserve">туруктуу мониторинг </w:t>
      </w:r>
      <w:r>
        <w:rPr>
          <w:lang w:val="ky" w:eastAsia="ky" w:bidi="ky"/>
        </w:rPr>
        <w:t xml:space="preserve">жүргүзүү </w:t>
      </w:r>
      <w:r>
        <w:t xml:space="preserve">менен ооруканада, шприц-помпасынын жардамы менен. Ооруга жана анын оордугуна жараша кадимки </w:t>
      </w:r>
      <w:r>
        <w:rPr>
          <w:lang w:val="ky" w:eastAsia="ky" w:bidi="ky"/>
        </w:rPr>
        <w:t xml:space="preserve">текшерүүгө </w:t>
      </w:r>
      <w:r>
        <w:t xml:space="preserve">кошумча катары (симптомдору: артериялык басымы, </w:t>
      </w:r>
      <w:r>
        <w:rPr>
          <w:lang w:val="ky" w:eastAsia="ky" w:bidi="ky"/>
        </w:rPr>
        <w:t xml:space="preserve">жүрөктүн </w:t>
      </w:r>
      <w:r>
        <w:t xml:space="preserve">жыйрылуусунун жыштыгы, диурез) гемодинамиканы аныктоо </w:t>
      </w:r>
      <w:r>
        <w:rPr>
          <w:lang w:val="ky" w:eastAsia="ky" w:bidi="ky"/>
        </w:rPr>
        <w:t xml:space="preserve">үчүн </w:t>
      </w:r>
      <w:r>
        <w:t xml:space="preserve">инвазивдик ыкмаларды колдонушат. Ампулаларды </w:t>
      </w:r>
      <w:r>
        <w:rPr>
          <w:lang w:val="ky" w:eastAsia="ky" w:bidi="ky"/>
        </w:rPr>
        <w:t xml:space="preserve">түздөн түз </w:t>
      </w:r>
      <w:r>
        <w:t>колдонуунун алдында асептикалык шарттарда ачуу керек. Суюлтулган эритмени дароо колдонуу керек.</w:t>
      </w:r>
    </w:p>
    <w:p w14:paraId="5C0F3B88" w14:textId="77777777" w:rsidR="002D4B6A" w:rsidRDefault="00AB0766">
      <w:pPr>
        <w:pStyle w:val="1"/>
        <w:numPr>
          <w:ilvl w:val="0"/>
          <w:numId w:val="2"/>
        </w:numPr>
        <w:tabs>
          <w:tab w:val="left" w:pos="269"/>
        </w:tabs>
        <w:jc w:val="both"/>
      </w:pPr>
      <w:r>
        <w:t>Суюлтулган эритмелерди колдонуу</w:t>
      </w:r>
    </w:p>
    <w:p w14:paraId="4F6BBC74" w14:textId="77777777" w:rsidR="002D4B6A" w:rsidRDefault="00AB0766">
      <w:pPr>
        <w:pStyle w:val="1"/>
        <w:jc w:val="both"/>
      </w:pPr>
      <w:r>
        <w:rPr>
          <w:u w:val="single"/>
        </w:rPr>
        <w:t>Ар кандай концентрациядагы эритмелерди даярдоо:</w:t>
      </w:r>
    </w:p>
    <w:p w14:paraId="73298521" w14:textId="77777777" w:rsidR="002D4B6A" w:rsidRDefault="00AB0766">
      <w:pPr>
        <w:pStyle w:val="1"/>
        <w:jc w:val="both"/>
      </w:pPr>
      <w:r>
        <w:t xml:space="preserve">0,1 мг/мл (0,01%): 50 мл препараттан (10 мл 5 ампула) 500 мл коломго чейин </w:t>
      </w:r>
      <w:r>
        <w:rPr>
          <w:lang w:val="ky" w:eastAsia="ky" w:bidi="ky"/>
        </w:rPr>
        <w:t xml:space="preserve">төмөндөгү </w:t>
      </w:r>
      <w:r>
        <w:t>эритмелердин бирин.</w:t>
      </w:r>
    </w:p>
    <w:p w14:paraId="1AE53EC6" w14:textId="77777777" w:rsidR="002D4B6A" w:rsidRDefault="00AB0766">
      <w:pPr>
        <w:pStyle w:val="1"/>
        <w:jc w:val="both"/>
      </w:pPr>
      <w:r>
        <w:t xml:space="preserve">0,2 мг/мл (0,02%) 100 мл препараттан (10 мл 10 ампула) 500 мл коломго чейин </w:t>
      </w:r>
      <w:r>
        <w:rPr>
          <w:lang w:val="ky" w:eastAsia="ky" w:bidi="ky"/>
        </w:rPr>
        <w:t xml:space="preserve">төмөндөгү </w:t>
      </w:r>
      <w:r>
        <w:t xml:space="preserve">эритмелердин бирин алуу </w:t>
      </w:r>
      <w:r>
        <w:rPr>
          <w:lang w:val="ky" w:eastAsia="ky" w:bidi="ky"/>
        </w:rPr>
        <w:t>үчүн.</w:t>
      </w:r>
    </w:p>
    <w:p w14:paraId="67A5E81A" w14:textId="77777777" w:rsidR="002D4B6A" w:rsidRDefault="00AB0766">
      <w:pPr>
        <w:pStyle w:val="1"/>
        <w:spacing w:after="100"/>
        <w:jc w:val="both"/>
      </w:pPr>
      <w:r>
        <w:rPr>
          <w:u w:val="single"/>
        </w:rPr>
        <w:t xml:space="preserve">Эритуу </w:t>
      </w:r>
      <w:r>
        <w:rPr>
          <w:u w:val="single"/>
          <w:lang w:val="ky" w:eastAsia="ky" w:bidi="ky"/>
        </w:rPr>
        <w:t xml:space="preserve">үчүн </w:t>
      </w:r>
      <w:r>
        <w:rPr>
          <w:u w:val="single"/>
        </w:rPr>
        <w:t>эритмелер</w:t>
      </w:r>
      <w:r>
        <w:t>: физиологиялык эритме, 5-30% глюкоза эритмеси, Рингер эритмеси, альбумин камтыган эритмелер.</w:t>
      </w:r>
    </w:p>
    <w:p w14:paraId="62C613CC" w14:textId="77777777" w:rsidR="002D4B6A" w:rsidRDefault="00AB0766">
      <w:pPr>
        <w:pStyle w:val="1"/>
        <w:spacing w:after="100"/>
        <w:jc w:val="both"/>
      </w:pPr>
      <w:r>
        <w:t>Суюлтулган эритмелердин дозалары (1 мл эритме 20 тамчыга барабар):</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6"/>
        <w:gridCol w:w="2074"/>
        <w:gridCol w:w="1896"/>
        <w:gridCol w:w="1766"/>
        <w:gridCol w:w="2246"/>
      </w:tblGrid>
      <w:tr w:rsidR="002D4B6A" w14:paraId="66B5D9A5" w14:textId="77777777">
        <w:trPr>
          <w:trHeight w:hRule="exact" w:val="1286"/>
          <w:jc w:val="center"/>
        </w:trPr>
        <w:tc>
          <w:tcPr>
            <w:tcW w:w="3980" w:type="dxa"/>
            <w:gridSpan w:val="2"/>
            <w:tcBorders>
              <w:top w:val="single" w:sz="4" w:space="0" w:color="auto"/>
              <w:left w:val="single" w:sz="4" w:space="0" w:color="auto"/>
            </w:tcBorders>
            <w:shd w:val="clear" w:color="auto" w:fill="auto"/>
            <w:vAlign w:val="bottom"/>
          </w:tcPr>
          <w:p w14:paraId="63F25798" w14:textId="77777777" w:rsidR="002D4B6A" w:rsidRDefault="00AB0766">
            <w:pPr>
              <w:pStyle w:val="a7"/>
              <w:spacing w:line="300" w:lineRule="auto"/>
              <w:jc w:val="center"/>
            </w:pPr>
            <w:r>
              <w:rPr>
                <w:b/>
                <w:bCs/>
              </w:rPr>
              <w:t>100 мкг/мл</w:t>
            </w:r>
          </w:p>
          <w:p w14:paraId="63173DEE" w14:textId="77777777" w:rsidR="002D4B6A" w:rsidRDefault="00AB0766">
            <w:pPr>
              <w:pStyle w:val="a7"/>
              <w:spacing w:line="300" w:lineRule="auto"/>
              <w:jc w:val="center"/>
            </w:pPr>
            <w:r>
              <w:t>50 мл препарат (5 ампула</w:t>
            </w:r>
          </w:p>
          <w:p w14:paraId="0DAFB9E4" w14:textId="77777777" w:rsidR="002D4B6A" w:rsidRDefault="00AB0766">
            <w:pPr>
              <w:pStyle w:val="a7"/>
              <w:spacing w:line="300" w:lineRule="auto"/>
              <w:jc w:val="center"/>
            </w:pPr>
            <w:r>
              <w:t xml:space="preserve">10 мл) 500 мл эритменин </w:t>
            </w:r>
            <w:r>
              <w:rPr>
                <w:lang w:val="ky" w:eastAsia="ky" w:bidi="ky"/>
              </w:rPr>
              <w:t xml:space="preserve">көлөмүнө </w:t>
            </w:r>
            <w:r>
              <w:t xml:space="preserve">чейин </w:t>
            </w:r>
            <w:r>
              <w:rPr>
                <w:lang w:val="ky" w:eastAsia="ky" w:bidi="ky"/>
              </w:rPr>
              <w:t>жеткирүү</w:t>
            </w:r>
          </w:p>
        </w:tc>
        <w:tc>
          <w:tcPr>
            <w:tcW w:w="1896" w:type="dxa"/>
            <w:tcBorders>
              <w:top w:val="single" w:sz="4" w:space="0" w:color="auto"/>
              <w:left w:val="single" w:sz="4" w:space="0" w:color="auto"/>
            </w:tcBorders>
            <w:shd w:val="clear" w:color="auto" w:fill="auto"/>
          </w:tcPr>
          <w:p w14:paraId="297B1EEB" w14:textId="77777777" w:rsidR="002D4B6A" w:rsidRDefault="00AB0766">
            <w:pPr>
              <w:pStyle w:val="a7"/>
              <w:spacing w:line="305" w:lineRule="auto"/>
              <w:jc w:val="center"/>
            </w:pPr>
            <w:r>
              <w:rPr>
                <w:b/>
                <w:bCs/>
              </w:rPr>
              <w:t>Дайынд алган доза</w:t>
            </w:r>
          </w:p>
        </w:tc>
        <w:tc>
          <w:tcPr>
            <w:tcW w:w="4012" w:type="dxa"/>
            <w:gridSpan w:val="2"/>
            <w:tcBorders>
              <w:top w:val="single" w:sz="4" w:space="0" w:color="auto"/>
              <w:left w:val="single" w:sz="4" w:space="0" w:color="auto"/>
              <w:right w:val="single" w:sz="4" w:space="0" w:color="auto"/>
            </w:tcBorders>
            <w:shd w:val="clear" w:color="auto" w:fill="auto"/>
            <w:vAlign w:val="bottom"/>
          </w:tcPr>
          <w:p w14:paraId="735DF4F6" w14:textId="77777777" w:rsidR="002D4B6A" w:rsidRDefault="00AB0766">
            <w:pPr>
              <w:pStyle w:val="a7"/>
              <w:spacing w:line="300" w:lineRule="auto"/>
              <w:jc w:val="center"/>
            </w:pPr>
            <w:r>
              <w:rPr>
                <w:b/>
                <w:bCs/>
              </w:rPr>
              <w:t>200 мкг/мл</w:t>
            </w:r>
          </w:p>
          <w:p w14:paraId="768B682A" w14:textId="77777777" w:rsidR="002D4B6A" w:rsidRDefault="00AB0766">
            <w:pPr>
              <w:pStyle w:val="a7"/>
              <w:spacing w:line="300" w:lineRule="auto"/>
              <w:jc w:val="center"/>
            </w:pPr>
            <w:r>
              <w:t>100 мл препарат (10 ампула).</w:t>
            </w:r>
          </w:p>
          <w:p w14:paraId="5D281B8D" w14:textId="77777777" w:rsidR="002D4B6A" w:rsidRDefault="00AB0766">
            <w:pPr>
              <w:pStyle w:val="a7"/>
              <w:spacing w:line="300" w:lineRule="auto"/>
              <w:jc w:val="center"/>
            </w:pPr>
            <w:r>
              <w:t xml:space="preserve">10 мл) 500 мл эритменин </w:t>
            </w:r>
            <w:r>
              <w:rPr>
                <w:lang w:val="ky" w:eastAsia="ky" w:bidi="ky"/>
              </w:rPr>
              <w:t xml:space="preserve">көлөмүнө </w:t>
            </w:r>
            <w:r>
              <w:t xml:space="preserve">чейин </w:t>
            </w:r>
            <w:r>
              <w:rPr>
                <w:lang w:val="ky" w:eastAsia="ky" w:bidi="ky"/>
              </w:rPr>
              <w:t>жеткирүү</w:t>
            </w:r>
          </w:p>
        </w:tc>
      </w:tr>
      <w:tr w:rsidR="002D4B6A" w14:paraId="4BB9B283" w14:textId="77777777">
        <w:trPr>
          <w:trHeight w:hRule="exact" w:val="326"/>
          <w:jc w:val="center"/>
        </w:trPr>
        <w:tc>
          <w:tcPr>
            <w:tcW w:w="3980" w:type="dxa"/>
            <w:gridSpan w:val="2"/>
            <w:tcBorders>
              <w:top w:val="single" w:sz="4" w:space="0" w:color="auto"/>
              <w:left w:val="single" w:sz="4" w:space="0" w:color="auto"/>
            </w:tcBorders>
            <w:shd w:val="clear" w:color="auto" w:fill="auto"/>
            <w:vAlign w:val="bottom"/>
          </w:tcPr>
          <w:p w14:paraId="696B7E95" w14:textId="77777777" w:rsidR="002D4B6A" w:rsidRDefault="00AB0766">
            <w:pPr>
              <w:pStyle w:val="a7"/>
              <w:spacing w:line="240" w:lineRule="auto"/>
              <w:jc w:val="center"/>
            </w:pPr>
            <w:r>
              <w:t>Инфузия ылдамдыгы</w:t>
            </w:r>
          </w:p>
        </w:tc>
        <w:tc>
          <w:tcPr>
            <w:tcW w:w="1896" w:type="dxa"/>
            <w:tcBorders>
              <w:top w:val="single" w:sz="4" w:space="0" w:color="auto"/>
              <w:left w:val="single" w:sz="4" w:space="0" w:color="auto"/>
            </w:tcBorders>
            <w:shd w:val="clear" w:color="auto" w:fill="auto"/>
          </w:tcPr>
          <w:p w14:paraId="5BE40CB1" w14:textId="77777777" w:rsidR="002D4B6A" w:rsidRDefault="002D4B6A">
            <w:pPr>
              <w:rPr>
                <w:sz w:val="10"/>
                <w:szCs w:val="10"/>
              </w:rPr>
            </w:pPr>
          </w:p>
        </w:tc>
        <w:tc>
          <w:tcPr>
            <w:tcW w:w="4012" w:type="dxa"/>
            <w:gridSpan w:val="2"/>
            <w:tcBorders>
              <w:top w:val="single" w:sz="4" w:space="0" w:color="auto"/>
              <w:left w:val="single" w:sz="4" w:space="0" w:color="auto"/>
              <w:right w:val="single" w:sz="4" w:space="0" w:color="auto"/>
            </w:tcBorders>
            <w:shd w:val="clear" w:color="auto" w:fill="auto"/>
            <w:vAlign w:val="bottom"/>
          </w:tcPr>
          <w:p w14:paraId="56C7D816" w14:textId="77777777" w:rsidR="002D4B6A" w:rsidRDefault="00AB0766">
            <w:pPr>
              <w:pStyle w:val="a7"/>
              <w:spacing w:line="240" w:lineRule="auto"/>
              <w:jc w:val="center"/>
            </w:pPr>
            <w:r>
              <w:t>Инфузия ылдамдыгы</w:t>
            </w:r>
          </w:p>
        </w:tc>
      </w:tr>
      <w:tr w:rsidR="002D4B6A" w14:paraId="4F3B8C8C" w14:textId="77777777">
        <w:trPr>
          <w:trHeight w:hRule="exact" w:val="326"/>
          <w:jc w:val="center"/>
        </w:trPr>
        <w:tc>
          <w:tcPr>
            <w:tcW w:w="1906" w:type="dxa"/>
            <w:tcBorders>
              <w:top w:val="single" w:sz="4" w:space="0" w:color="auto"/>
              <w:left w:val="single" w:sz="4" w:space="0" w:color="auto"/>
            </w:tcBorders>
            <w:shd w:val="clear" w:color="auto" w:fill="auto"/>
          </w:tcPr>
          <w:p w14:paraId="2E02225C" w14:textId="77777777" w:rsidR="002D4B6A" w:rsidRDefault="00AB0766">
            <w:pPr>
              <w:pStyle w:val="a7"/>
              <w:spacing w:line="240" w:lineRule="auto"/>
              <w:jc w:val="center"/>
            </w:pPr>
            <w:r>
              <w:t>мл/саат</w:t>
            </w:r>
          </w:p>
        </w:tc>
        <w:tc>
          <w:tcPr>
            <w:tcW w:w="2074" w:type="dxa"/>
            <w:tcBorders>
              <w:top w:val="single" w:sz="4" w:space="0" w:color="auto"/>
              <w:left w:val="single" w:sz="4" w:space="0" w:color="auto"/>
            </w:tcBorders>
            <w:shd w:val="clear" w:color="auto" w:fill="auto"/>
          </w:tcPr>
          <w:p w14:paraId="22ECE3F0" w14:textId="77777777" w:rsidR="002D4B6A" w:rsidRDefault="00AB0766">
            <w:pPr>
              <w:pStyle w:val="a7"/>
              <w:spacing w:line="240" w:lineRule="auto"/>
              <w:jc w:val="center"/>
            </w:pPr>
            <w:r>
              <w:t>тамчы/мин</w:t>
            </w:r>
          </w:p>
        </w:tc>
        <w:tc>
          <w:tcPr>
            <w:tcW w:w="1896" w:type="dxa"/>
            <w:tcBorders>
              <w:top w:val="single" w:sz="4" w:space="0" w:color="auto"/>
              <w:left w:val="single" w:sz="4" w:space="0" w:color="auto"/>
            </w:tcBorders>
            <w:shd w:val="clear" w:color="auto" w:fill="auto"/>
          </w:tcPr>
          <w:p w14:paraId="74F130B9" w14:textId="77777777" w:rsidR="002D4B6A" w:rsidRDefault="00AB0766">
            <w:pPr>
              <w:pStyle w:val="a7"/>
              <w:spacing w:line="240" w:lineRule="auto"/>
              <w:jc w:val="center"/>
            </w:pPr>
            <w:r>
              <w:t>мг/саат</w:t>
            </w:r>
          </w:p>
        </w:tc>
        <w:tc>
          <w:tcPr>
            <w:tcW w:w="1766" w:type="dxa"/>
            <w:tcBorders>
              <w:top w:val="single" w:sz="4" w:space="0" w:color="auto"/>
              <w:left w:val="single" w:sz="4" w:space="0" w:color="auto"/>
            </w:tcBorders>
            <w:shd w:val="clear" w:color="auto" w:fill="auto"/>
          </w:tcPr>
          <w:p w14:paraId="63E70E6F" w14:textId="77777777" w:rsidR="002D4B6A" w:rsidRDefault="00AB0766">
            <w:pPr>
              <w:pStyle w:val="a7"/>
              <w:spacing w:line="240" w:lineRule="auto"/>
              <w:jc w:val="center"/>
            </w:pPr>
            <w:r>
              <w:t>мл/саат</w:t>
            </w:r>
          </w:p>
        </w:tc>
        <w:tc>
          <w:tcPr>
            <w:tcW w:w="2246" w:type="dxa"/>
            <w:tcBorders>
              <w:top w:val="single" w:sz="4" w:space="0" w:color="auto"/>
              <w:left w:val="single" w:sz="4" w:space="0" w:color="auto"/>
              <w:right w:val="single" w:sz="4" w:space="0" w:color="auto"/>
            </w:tcBorders>
            <w:shd w:val="clear" w:color="auto" w:fill="auto"/>
          </w:tcPr>
          <w:p w14:paraId="3221A173" w14:textId="77777777" w:rsidR="002D4B6A" w:rsidRDefault="00AB0766">
            <w:pPr>
              <w:pStyle w:val="a7"/>
              <w:spacing w:line="240" w:lineRule="auto"/>
              <w:jc w:val="center"/>
            </w:pPr>
            <w:r>
              <w:t>тамчы/мин</w:t>
            </w:r>
          </w:p>
        </w:tc>
      </w:tr>
      <w:tr w:rsidR="002D4B6A" w14:paraId="7249ED29" w14:textId="77777777">
        <w:trPr>
          <w:trHeight w:hRule="exact" w:val="326"/>
          <w:jc w:val="center"/>
        </w:trPr>
        <w:tc>
          <w:tcPr>
            <w:tcW w:w="1906" w:type="dxa"/>
            <w:tcBorders>
              <w:top w:val="single" w:sz="4" w:space="0" w:color="auto"/>
              <w:left w:val="single" w:sz="4" w:space="0" w:color="auto"/>
            </w:tcBorders>
            <w:shd w:val="clear" w:color="auto" w:fill="auto"/>
          </w:tcPr>
          <w:p w14:paraId="3A8BB38C" w14:textId="77777777" w:rsidR="002D4B6A" w:rsidRDefault="00AB0766">
            <w:pPr>
              <w:pStyle w:val="a7"/>
              <w:spacing w:line="240" w:lineRule="auto"/>
              <w:jc w:val="center"/>
            </w:pPr>
            <w:r>
              <w:t>10</w:t>
            </w:r>
          </w:p>
        </w:tc>
        <w:tc>
          <w:tcPr>
            <w:tcW w:w="2074" w:type="dxa"/>
            <w:tcBorders>
              <w:top w:val="single" w:sz="4" w:space="0" w:color="auto"/>
              <w:left w:val="single" w:sz="4" w:space="0" w:color="auto"/>
            </w:tcBorders>
            <w:shd w:val="clear" w:color="auto" w:fill="auto"/>
          </w:tcPr>
          <w:p w14:paraId="1C73CFCA" w14:textId="77777777" w:rsidR="002D4B6A" w:rsidRDefault="00AB0766">
            <w:pPr>
              <w:pStyle w:val="a7"/>
              <w:spacing w:line="240" w:lineRule="auto"/>
              <w:jc w:val="center"/>
            </w:pPr>
            <w:r>
              <w:t>3-4</w:t>
            </w:r>
          </w:p>
        </w:tc>
        <w:tc>
          <w:tcPr>
            <w:tcW w:w="1896" w:type="dxa"/>
            <w:tcBorders>
              <w:top w:val="single" w:sz="4" w:space="0" w:color="auto"/>
              <w:left w:val="single" w:sz="4" w:space="0" w:color="auto"/>
            </w:tcBorders>
            <w:shd w:val="clear" w:color="auto" w:fill="auto"/>
          </w:tcPr>
          <w:p w14:paraId="21F72844" w14:textId="77777777" w:rsidR="002D4B6A" w:rsidRDefault="00AB0766">
            <w:pPr>
              <w:pStyle w:val="a7"/>
              <w:spacing w:line="240" w:lineRule="auto"/>
              <w:jc w:val="center"/>
            </w:pPr>
            <w:r>
              <w:t>1</w:t>
            </w:r>
          </w:p>
        </w:tc>
        <w:tc>
          <w:tcPr>
            <w:tcW w:w="1766" w:type="dxa"/>
            <w:tcBorders>
              <w:top w:val="single" w:sz="4" w:space="0" w:color="auto"/>
              <w:left w:val="single" w:sz="4" w:space="0" w:color="auto"/>
            </w:tcBorders>
            <w:shd w:val="clear" w:color="auto" w:fill="auto"/>
          </w:tcPr>
          <w:p w14:paraId="21D06ECE" w14:textId="77777777" w:rsidR="002D4B6A" w:rsidRDefault="00AB0766">
            <w:pPr>
              <w:pStyle w:val="a7"/>
              <w:spacing w:line="240" w:lineRule="auto"/>
              <w:jc w:val="center"/>
            </w:pPr>
            <w:r>
              <w:t>5</w:t>
            </w:r>
          </w:p>
        </w:tc>
        <w:tc>
          <w:tcPr>
            <w:tcW w:w="2246" w:type="dxa"/>
            <w:tcBorders>
              <w:top w:val="single" w:sz="4" w:space="0" w:color="auto"/>
              <w:left w:val="single" w:sz="4" w:space="0" w:color="auto"/>
              <w:right w:val="single" w:sz="4" w:space="0" w:color="auto"/>
            </w:tcBorders>
            <w:shd w:val="clear" w:color="auto" w:fill="auto"/>
          </w:tcPr>
          <w:p w14:paraId="54378DDB" w14:textId="77777777" w:rsidR="002D4B6A" w:rsidRDefault="00AB0766">
            <w:pPr>
              <w:pStyle w:val="a7"/>
              <w:spacing w:line="240" w:lineRule="auto"/>
              <w:jc w:val="center"/>
            </w:pPr>
            <w:r>
              <w:t>1-2</w:t>
            </w:r>
          </w:p>
        </w:tc>
      </w:tr>
      <w:tr w:rsidR="002D4B6A" w14:paraId="7344B393" w14:textId="77777777">
        <w:trPr>
          <w:trHeight w:hRule="exact" w:val="331"/>
          <w:jc w:val="center"/>
        </w:trPr>
        <w:tc>
          <w:tcPr>
            <w:tcW w:w="1906" w:type="dxa"/>
            <w:tcBorders>
              <w:top w:val="single" w:sz="4" w:space="0" w:color="auto"/>
              <w:left w:val="single" w:sz="4" w:space="0" w:color="auto"/>
            </w:tcBorders>
            <w:shd w:val="clear" w:color="auto" w:fill="auto"/>
          </w:tcPr>
          <w:p w14:paraId="191C3F99" w14:textId="77777777" w:rsidR="002D4B6A" w:rsidRDefault="00AB0766">
            <w:pPr>
              <w:pStyle w:val="a7"/>
              <w:spacing w:line="240" w:lineRule="auto"/>
              <w:jc w:val="center"/>
            </w:pPr>
            <w:r>
              <w:t>20</w:t>
            </w:r>
          </w:p>
        </w:tc>
        <w:tc>
          <w:tcPr>
            <w:tcW w:w="2074" w:type="dxa"/>
            <w:tcBorders>
              <w:top w:val="single" w:sz="4" w:space="0" w:color="auto"/>
              <w:left w:val="single" w:sz="4" w:space="0" w:color="auto"/>
            </w:tcBorders>
            <w:shd w:val="clear" w:color="auto" w:fill="auto"/>
          </w:tcPr>
          <w:p w14:paraId="6BC0943D" w14:textId="77777777" w:rsidR="002D4B6A" w:rsidRDefault="00AB0766">
            <w:pPr>
              <w:pStyle w:val="a7"/>
              <w:spacing w:line="240" w:lineRule="auto"/>
              <w:jc w:val="center"/>
            </w:pPr>
            <w:r>
              <w:t>7</w:t>
            </w:r>
          </w:p>
        </w:tc>
        <w:tc>
          <w:tcPr>
            <w:tcW w:w="1896" w:type="dxa"/>
            <w:tcBorders>
              <w:top w:val="single" w:sz="4" w:space="0" w:color="auto"/>
              <w:left w:val="single" w:sz="4" w:space="0" w:color="auto"/>
            </w:tcBorders>
            <w:shd w:val="clear" w:color="auto" w:fill="auto"/>
          </w:tcPr>
          <w:p w14:paraId="5603E930" w14:textId="77777777" w:rsidR="002D4B6A" w:rsidRDefault="00AB0766">
            <w:pPr>
              <w:pStyle w:val="a7"/>
              <w:spacing w:line="240" w:lineRule="auto"/>
              <w:jc w:val="center"/>
            </w:pPr>
            <w:r>
              <w:t>2</w:t>
            </w:r>
          </w:p>
        </w:tc>
        <w:tc>
          <w:tcPr>
            <w:tcW w:w="1766" w:type="dxa"/>
            <w:tcBorders>
              <w:top w:val="single" w:sz="4" w:space="0" w:color="auto"/>
              <w:left w:val="single" w:sz="4" w:space="0" w:color="auto"/>
            </w:tcBorders>
            <w:shd w:val="clear" w:color="auto" w:fill="auto"/>
          </w:tcPr>
          <w:p w14:paraId="6F15A82F" w14:textId="77777777" w:rsidR="002D4B6A" w:rsidRDefault="00AB0766">
            <w:pPr>
              <w:pStyle w:val="a7"/>
              <w:spacing w:line="240" w:lineRule="auto"/>
              <w:jc w:val="center"/>
            </w:pPr>
            <w:r>
              <w:t>10</w:t>
            </w:r>
          </w:p>
        </w:tc>
        <w:tc>
          <w:tcPr>
            <w:tcW w:w="2246" w:type="dxa"/>
            <w:tcBorders>
              <w:top w:val="single" w:sz="4" w:space="0" w:color="auto"/>
              <w:left w:val="single" w:sz="4" w:space="0" w:color="auto"/>
              <w:right w:val="single" w:sz="4" w:space="0" w:color="auto"/>
            </w:tcBorders>
            <w:shd w:val="clear" w:color="auto" w:fill="auto"/>
          </w:tcPr>
          <w:p w14:paraId="2CE1F36F" w14:textId="77777777" w:rsidR="002D4B6A" w:rsidRDefault="00AB0766">
            <w:pPr>
              <w:pStyle w:val="a7"/>
              <w:spacing w:line="240" w:lineRule="auto"/>
              <w:jc w:val="center"/>
            </w:pPr>
            <w:r>
              <w:t>3</w:t>
            </w:r>
          </w:p>
        </w:tc>
      </w:tr>
      <w:tr w:rsidR="002D4B6A" w14:paraId="11E3799D" w14:textId="77777777">
        <w:trPr>
          <w:trHeight w:hRule="exact" w:val="326"/>
          <w:jc w:val="center"/>
        </w:trPr>
        <w:tc>
          <w:tcPr>
            <w:tcW w:w="1906" w:type="dxa"/>
            <w:tcBorders>
              <w:top w:val="single" w:sz="4" w:space="0" w:color="auto"/>
              <w:left w:val="single" w:sz="4" w:space="0" w:color="auto"/>
            </w:tcBorders>
            <w:shd w:val="clear" w:color="auto" w:fill="auto"/>
          </w:tcPr>
          <w:p w14:paraId="2DAA0ED5" w14:textId="77777777" w:rsidR="002D4B6A" w:rsidRDefault="00AB0766">
            <w:pPr>
              <w:pStyle w:val="a7"/>
              <w:spacing w:line="240" w:lineRule="auto"/>
              <w:jc w:val="center"/>
            </w:pPr>
            <w:r>
              <w:t>30</w:t>
            </w:r>
          </w:p>
        </w:tc>
        <w:tc>
          <w:tcPr>
            <w:tcW w:w="2074" w:type="dxa"/>
            <w:tcBorders>
              <w:top w:val="single" w:sz="4" w:space="0" w:color="auto"/>
              <w:left w:val="single" w:sz="4" w:space="0" w:color="auto"/>
            </w:tcBorders>
            <w:shd w:val="clear" w:color="auto" w:fill="auto"/>
          </w:tcPr>
          <w:p w14:paraId="7007C1BD" w14:textId="77777777" w:rsidR="002D4B6A" w:rsidRDefault="00AB0766">
            <w:pPr>
              <w:pStyle w:val="a7"/>
              <w:spacing w:line="240" w:lineRule="auto"/>
              <w:jc w:val="center"/>
            </w:pPr>
            <w:r>
              <w:t>ОнЮ</w:t>
            </w:r>
          </w:p>
        </w:tc>
        <w:tc>
          <w:tcPr>
            <w:tcW w:w="1896" w:type="dxa"/>
            <w:tcBorders>
              <w:top w:val="single" w:sz="4" w:space="0" w:color="auto"/>
              <w:left w:val="single" w:sz="4" w:space="0" w:color="auto"/>
            </w:tcBorders>
            <w:shd w:val="clear" w:color="auto" w:fill="auto"/>
          </w:tcPr>
          <w:p w14:paraId="74A070FC" w14:textId="77777777" w:rsidR="002D4B6A" w:rsidRDefault="00AB0766">
            <w:pPr>
              <w:pStyle w:val="a7"/>
              <w:spacing w:line="240" w:lineRule="auto"/>
              <w:jc w:val="center"/>
            </w:pPr>
            <w:r>
              <w:t>3</w:t>
            </w:r>
          </w:p>
        </w:tc>
        <w:tc>
          <w:tcPr>
            <w:tcW w:w="1766" w:type="dxa"/>
            <w:tcBorders>
              <w:top w:val="single" w:sz="4" w:space="0" w:color="auto"/>
              <w:left w:val="single" w:sz="4" w:space="0" w:color="auto"/>
            </w:tcBorders>
            <w:shd w:val="clear" w:color="auto" w:fill="auto"/>
          </w:tcPr>
          <w:p w14:paraId="4A1B612B" w14:textId="77777777" w:rsidR="002D4B6A" w:rsidRDefault="00AB0766">
            <w:pPr>
              <w:pStyle w:val="a7"/>
              <w:spacing w:line="240" w:lineRule="auto"/>
              <w:jc w:val="center"/>
            </w:pPr>
            <w:r>
              <w:t>15</w:t>
            </w:r>
          </w:p>
        </w:tc>
        <w:tc>
          <w:tcPr>
            <w:tcW w:w="2246" w:type="dxa"/>
            <w:tcBorders>
              <w:top w:val="single" w:sz="4" w:space="0" w:color="auto"/>
              <w:left w:val="single" w:sz="4" w:space="0" w:color="auto"/>
              <w:right w:val="single" w:sz="4" w:space="0" w:color="auto"/>
            </w:tcBorders>
            <w:shd w:val="clear" w:color="auto" w:fill="auto"/>
          </w:tcPr>
          <w:p w14:paraId="176B7E93" w14:textId="77777777" w:rsidR="002D4B6A" w:rsidRDefault="00AB0766">
            <w:pPr>
              <w:pStyle w:val="a7"/>
              <w:spacing w:line="240" w:lineRule="auto"/>
              <w:jc w:val="center"/>
            </w:pPr>
            <w:r>
              <w:t>5</w:t>
            </w:r>
          </w:p>
        </w:tc>
      </w:tr>
      <w:tr w:rsidR="002D4B6A" w14:paraId="61CF5EFA" w14:textId="77777777">
        <w:trPr>
          <w:trHeight w:hRule="exact" w:val="326"/>
          <w:jc w:val="center"/>
        </w:trPr>
        <w:tc>
          <w:tcPr>
            <w:tcW w:w="1906" w:type="dxa"/>
            <w:tcBorders>
              <w:top w:val="single" w:sz="4" w:space="0" w:color="auto"/>
              <w:left w:val="single" w:sz="4" w:space="0" w:color="auto"/>
            </w:tcBorders>
            <w:shd w:val="clear" w:color="auto" w:fill="auto"/>
          </w:tcPr>
          <w:p w14:paraId="5EBD35F4" w14:textId="77777777" w:rsidR="002D4B6A" w:rsidRDefault="00AB0766">
            <w:pPr>
              <w:pStyle w:val="a7"/>
              <w:spacing w:line="240" w:lineRule="auto"/>
              <w:jc w:val="center"/>
            </w:pPr>
            <w:r>
              <w:t>40</w:t>
            </w:r>
          </w:p>
        </w:tc>
        <w:tc>
          <w:tcPr>
            <w:tcW w:w="2074" w:type="dxa"/>
            <w:tcBorders>
              <w:top w:val="single" w:sz="4" w:space="0" w:color="auto"/>
              <w:left w:val="single" w:sz="4" w:space="0" w:color="auto"/>
            </w:tcBorders>
            <w:shd w:val="clear" w:color="auto" w:fill="auto"/>
          </w:tcPr>
          <w:p w14:paraId="1BCBBB24" w14:textId="77777777" w:rsidR="002D4B6A" w:rsidRDefault="00AB0766">
            <w:pPr>
              <w:pStyle w:val="a7"/>
              <w:spacing w:line="240" w:lineRule="auto"/>
              <w:jc w:val="center"/>
            </w:pPr>
            <w:r>
              <w:t>13</w:t>
            </w:r>
          </w:p>
        </w:tc>
        <w:tc>
          <w:tcPr>
            <w:tcW w:w="1896" w:type="dxa"/>
            <w:tcBorders>
              <w:top w:val="single" w:sz="4" w:space="0" w:color="auto"/>
              <w:left w:val="single" w:sz="4" w:space="0" w:color="auto"/>
            </w:tcBorders>
            <w:shd w:val="clear" w:color="auto" w:fill="auto"/>
          </w:tcPr>
          <w:p w14:paraId="71D72453" w14:textId="77777777" w:rsidR="002D4B6A" w:rsidRDefault="00AB0766">
            <w:pPr>
              <w:pStyle w:val="a7"/>
              <w:spacing w:line="240" w:lineRule="auto"/>
              <w:jc w:val="center"/>
            </w:pPr>
            <w:r>
              <w:t>4</w:t>
            </w:r>
          </w:p>
        </w:tc>
        <w:tc>
          <w:tcPr>
            <w:tcW w:w="1766" w:type="dxa"/>
            <w:tcBorders>
              <w:top w:val="single" w:sz="4" w:space="0" w:color="auto"/>
              <w:left w:val="single" w:sz="4" w:space="0" w:color="auto"/>
            </w:tcBorders>
            <w:shd w:val="clear" w:color="auto" w:fill="auto"/>
          </w:tcPr>
          <w:p w14:paraId="65997298" w14:textId="77777777" w:rsidR="002D4B6A" w:rsidRDefault="00AB0766">
            <w:pPr>
              <w:pStyle w:val="a7"/>
              <w:spacing w:line="240" w:lineRule="auto"/>
              <w:jc w:val="center"/>
            </w:pPr>
            <w:r>
              <w:t>20</w:t>
            </w:r>
          </w:p>
        </w:tc>
        <w:tc>
          <w:tcPr>
            <w:tcW w:w="2246" w:type="dxa"/>
            <w:tcBorders>
              <w:top w:val="single" w:sz="4" w:space="0" w:color="auto"/>
              <w:left w:val="single" w:sz="4" w:space="0" w:color="auto"/>
              <w:right w:val="single" w:sz="4" w:space="0" w:color="auto"/>
            </w:tcBorders>
            <w:shd w:val="clear" w:color="auto" w:fill="auto"/>
          </w:tcPr>
          <w:p w14:paraId="4ACE2788" w14:textId="77777777" w:rsidR="002D4B6A" w:rsidRDefault="00AB0766">
            <w:pPr>
              <w:pStyle w:val="a7"/>
              <w:spacing w:line="240" w:lineRule="auto"/>
              <w:jc w:val="center"/>
            </w:pPr>
            <w:r>
              <w:t>7</w:t>
            </w:r>
          </w:p>
        </w:tc>
      </w:tr>
      <w:tr w:rsidR="002D4B6A" w14:paraId="5A4BCF4E" w14:textId="77777777">
        <w:trPr>
          <w:trHeight w:hRule="exact" w:val="326"/>
          <w:jc w:val="center"/>
        </w:trPr>
        <w:tc>
          <w:tcPr>
            <w:tcW w:w="1906" w:type="dxa"/>
            <w:tcBorders>
              <w:top w:val="single" w:sz="4" w:space="0" w:color="auto"/>
              <w:left w:val="single" w:sz="4" w:space="0" w:color="auto"/>
            </w:tcBorders>
            <w:shd w:val="clear" w:color="auto" w:fill="auto"/>
          </w:tcPr>
          <w:p w14:paraId="6B7B7D1A" w14:textId="77777777" w:rsidR="002D4B6A" w:rsidRDefault="00AB0766">
            <w:pPr>
              <w:pStyle w:val="a7"/>
              <w:spacing w:line="240" w:lineRule="auto"/>
              <w:jc w:val="center"/>
            </w:pPr>
            <w:r>
              <w:t>50</w:t>
            </w:r>
          </w:p>
        </w:tc>
        <w:tc>
          <w:tcPr>
            <w:tcW w:w="2074" w:type="dxa"/>
            <w:tcBorders>
              <w:top w:val="single" w:sz="4" w:space="0" w:color="auto"/>
              <w:left w:val="single" w:sz="4" w:space="0" w:color="auto"/>
            </w:tcBorders>
            <w:shd w:val="clear" w:color="auto" w:fill="auto"/>
          </w:tcPr>
          <w:p w14:paraId="7B7B37F1" w14:textId="77777777" w:rsidR="002D4B6A" w:rsidRDefault="00AB0766">
            <w:pPr>
              <w:pStyle w:val="a7"/>
              <w:spacing w:line="240" w:lineRule="auto"/>
              <w:jc w:val="center"/>
            </w:pPr>
            <w:r>
              <w:t>17</w:t>
            </w:r>
          </w:p>
        </w:tc>
        <w:tc>
          <w:tcPr>
            <w:tcW w:w="1896" w:type="dxa"/>
            <w:tcBorders>
              <w:top w:val="single" w:sz="4" w:space="0" w:color="auto"/>
              <w:left w:val="single" w:sz="4" w:space="0" w:color="auto"/>
            </w:tcBorders>
            <w:shd w:val="clear" w:color="auto" w:fill="auto"/>
          </w:tcPr>
          <w:p w14:paraId="411E0F2A" w14:textId="77777777" w:rsidR="002D4B6A" w:rsidRDefault="00AB0766">
            <w:pPr>
              <w:pStyle w:val="a7"/>
              <w:spacing w:line="240" w:lineRule="auto"/>
              <w:jc w:val="center"/>
            </w:pPr>
            <w:r>
              <w:t>5</w:t>
            </w:r>
          </w:p>
        </w:tc>
        <w:tc>
          <w:tcPr>
            <w:tcW w:w="1766" w:type="dxa"/>
            <w:tcBorders>
              <w:top w:val="single" w:sz="4" w:space="0" w:color="auto"/>
              <w:left w:val="single" w:sz="4" w:space="0" w:color="auto"/>
            </w:tcBorders>
            <w:shd w:val="clear" w:color="auto" w:fill="auto"/>
          </w:tcPr>
          <w:p w14:paraId="3938866A" w14:textId="77777777" w:rsidR="002D4B6A" w:rsidRDefault="00AB0766">
            <w:pPr>
              <w:pStyle w:val="a7"/>
              <w:spacing w:line="240" w:lineRule="auto"/>
              <w:jc w:val="center"/>
            </w:pPr>
            <w:r>
              <w:t>25</w:t>
            </w:r>
          </w:p>
        </w:tc>
        <w:tc>
          <w:tcPr>
            <w:tcW w:w="2246" w:type="dxa"/>
            <w:tcBorders>
              <w:top w:val="single" w:sz="4" w:space="0" w:color="auto"/>
              <w:left w:val="single" w:sz="4" w:space="0" w:color="auto"/>
              <w:right w:val="single" w:sz="4" w:space="0" w:color="auto"/>
            </w:tcBorders>
            <w:shd w:val="clear" w:color="auto" w:fill="auto"/>
          </w:tcPr>
          <w:p w14:paraId="48896746" w14:textId="77777777" w:rsidR="002D4B6A" w:rsidRDefault="00AB0766">
            <w:pPr>
              <w:pStyle w:val="a7"/>
              <w:spacing w:line="240" w:lineRule="auto"/>
              <w:jc w:val="center"/>
            </w:pPr>
            <w:r>
              <w:t>8</w:t>
            </w:r>
          </w:p>
        </w:tc>
      </w:tr>
      <w:tr w:rsidR="002D4B6A" w14:paraId="1D04ABDD" w14:textId="77777777">
        <w:trPr>
          <w:trHeight w:hRule="exact" w:val="326"/>
          <w:jc w:val="center"/>
        </w:trPr>
        <w:tc>
          <w:tcPr>
            <w:tcW w:w="1906" w:type="dxa"/>
            <w:tcBorders>
              <w:top w:val="single" w:sz="4" w:space="0" w:color="auto"/>
              <w:left w:val="single" w:sz="4" w:space="0" w:color="auto"/>
            </w:tcBorders>
            <w:shd w:val="clear" w:color="auto" w:fill="auto"/>
          </w:tcPr>
          <w:p w14:paraId="295CCC3D" w14:textId="77777777" w:rsidR="002D4B6A" w:rsidRDefault="00AB0766">
            <w:pPr>
              <w:pStyle w:val="a7"/>
              <w:spacing w:line="240" w:lineRule="auto"/>
              <w:jc w:val="center"/>
            </w:pPr>
            <w:r>
              <w:t>60</w:t>
            </w:r>
          </w:p>
        </w:tc>
        <w:tc>
          <w:tcPr>
            <w:tcW w:w="2074" w:type="dxa"/>
            <w:tcBorders>
              <w:top w:val="single" w:sz="4" w:space="0" w:color="auto"/>
              <w:left w:val="single" w:sz="4" w:space="0" w:color="auto"/>
            </w:tcBorders>
            <w:shd w:val="clear" w:color="auto" w:fill="auto"/>
          </w:tcPr>
          <w:p w14:paraId="6813FF06" w14:textId="77777777" w:rsidR="002D4B6A" w:rsidRDefault="00AB0766">
            <w:pPr>
              <w:pStyle w:val="a7"/>
              <w:spacing w:line="240" w:lineRule="auto"/>
              <w:jc w:val="center"/>
            </w:pPr>
            <w:r>
              <w:t>20</w:t>
            </w:r>
          </w:p>
        </w:tc>
        <w:tc>
          <w:tcPr>
            <w:tcW w:w="1896" w:type="dxa"/>
            <w:tcBorders>
              <w:top w:val="single" w:sz="4" w:space="0" w:color="auto"/>
              <w:left w:val="single" w:sz="4" w:space="0" w:color="auto"/>
            </w:tcBorders>
            <w:shd w:val="clear" w:color="auto" w:fill="auto"/>
          </w:tcPr>
          <w:p w14:paraId="622B723A" w14:textId="77777777" w:rsidR="002D4B6A" w:rsidRDefault="00AB0766">
            <w:pPr>
              <w:pStyle w:val="a7"/>
              <w:spacing w:line="240" w:lineRule="auto"/>
              <w:jc w:val="center"/>
            </w:pPr>
            <w:r>
              <w:t>6</w:t>
            </w:r>
          </w:p>
        </w:tc>
        <w:tc>
          <w:tcPr>
            <w:tcW w:w="1766" w:type="dxa"/>
            <w:tcBorders>
              <w:top w:val="single" w:sz="4" w:space="0" w:color="auto"/>
              <w:left w:val="single" w:sz="4" w:space="0" w:color="auto"/>
            </w:tcBorders>
            <w:shd w:val="clear" w:color="auto" w:fill="auto"/>
          </w:tcPr>
          <w:p w14:paraId="37CA0E3C" w14:textId="77777777" w:rsidR="002D4B6A" w:rsidRDefault="00AB0766">
            <w:pPr>
              <w:pStyle w:val="a7"/>
              <w:spacing w:line="240" w:lineRule="auto"/>
              <w:jc w:val="center"/>
            </w:pPr>
            <w:r>
              <w:t>30</w:t>
            </w:r>
          </w:p>
        </w:tc>
        <w:tc>
          <w:tcPr>
            <w:tcW w:w="2246" w:type="dxa"/>
            <w:tcBorders>
              <w:top w:val="single" w:sz="4" w:space="0" w:color="auto"/>
              <w:left w:val="single" w:sz="4" w:space="0" w:color="auto"/>
              <w:right w:val="single" w:sz="4" w:space="0" w:color="auto"/>
            </w:tcBorders>
            <w:shd w:val="clear" w:color="auto" w:fill="auto"/>
          </w:tcPr>
          <w:p w14:paraId="5D90F49A" w14:textId="77777777" w:rsidR="002D4B6A" w:rsidRDefault="00AB0766">
            <w:pPr>
              <w:pStyle w:val="a7"/>
              <w:spacing w:line="240" w:lineRule="auto"/>
              <w:jc w:val="center"/>
            </w:pPr>
            <w:r>
              <w:t>10</w:t>
            </w:r>
          </w:p>
        </w:tc>
      </w:tr>
      <w:tr w:rsidR="002D4B6A" w14:paraId="715ACA9F" w14:textId="77777777">
        <w:trPr>
          <w:trHeight w:hRule="exact" w:val="331"/>
          <w:jc w:val="center"/>
        </w:trPr>
        <w:tc>
          <w:tcPr>
            <w:tcW w:w="1906" w:type="dxa"/>
            <w:tcBorders>
              <w:top w:val="single" w:sz="4" w:space="0" w:color="auto"/>
              <w:left w:val="single" w:sz="4" w:space="0" w:color="auto"/>
            </w:tcBorders>
            <w:shd w:val="clear" w:color="auto" w:fill="auto"/>
          </w:tcPr>
          <w:p w14:paraId="5741F0AF" w14:textId="77777777" w:rsidR="002D4B6A" w:rsidRDefault="00AB0766">
            <w:pPr>
              <w:pStyle w:val="a7"/>
              <w:spacing w:line="240" w:lineRule="auto"/>
              <w:jc w:val="center"/>
            </w:pPr>
            <w:r>
              <w:t>70</w:t>
            </w:r>
          </w:p>
        </w:tc>
        <w:tc>
          <w:tcPr>
            <w:tcW w:w="2074" w:type="dxa"/>
            <w:tcBorders>
              <w:top w:val="single" w:sz="4" w:space="0" w:color="auto"/>
              <w:left w:val="single" w:sz="4" w:space="0" w:color="auto"/>
            </w:tcBorders>
            <w:shd w:val="clear" w:color="auto" w:fill="auto"/>
          </w:tcPr>
          <w:p w14:paraId="17BB5AA5" w14:textId="77777777" w:rsidR="002D4B6A" w:rsidRDefault="00AB0766">
            <w:pPr>
              <w:pStyle w:val="a7"/>
              <w:spacing w:line="240" w:lineRule="auto"/>
              <w:jc w:val="center"/>
            </w:pPr>
            <w:r>
              <w:t>23</w:t>
            </w:r>
          </w:p>
        </w:tc>
        <w:tc>
          <w:tcPr>
            <w:tcW w:w="1896" w:type="dxa"/>
            <w:tcBorders>
              <w:top w:val="single" w:sz="4" w:space="0" w:color="auto"/>
              <w:left w:val="single" w:sz="4" w:space="0" w:color="auto"/>
            </w:tcBorders>
            <w:shd w:val="clear" w:color="auto" w:fill="auto"/>
          </w:tcPr>
          <w:p w14:paraId="09912318" w14:textId="77777777" w:rsidR="002D4B6A" w:rsidRDefault="00AB0766">
            <w:pPr>
              <w:pStyle w:val="a7"/>
              <w:spacing w:line="240" w:lineRule="auto"/>
              <w:jc w:val="center"/>
            </w:pPr>
            <w:r>
              <w:t>7</w:t>
            </w:r>
          </w:p>
        </w:tc>
        <w:tc>
          <w:tcPr>
            <w:tcW w:w="1766" w:type="dxa"/>
            <w:tcBorders>
              <w:top w:val="single" w:sz="4" w:space="0" w:color="auto"/>
              <w:left w:val="single" w:sz="4" w:space="0" w:color="auto"/>
            </w:tcBorders>
            <w:shd w:val="clear" w:color="auto" w:fill="auto"/>
          </w:tcPr>
          <w:p w14:paraId="1FFBF735" w14:textId="77777777" w:rsidR="002D4B6A" w:rsidRDefault="00AB0766">
            <w:pPr>
              <w:pStyle w:val="a7"/>
              <w:spacing w:line="240" w:lineRule="auto"/>
              <w:jc w:val="center"/>
            </w:pPr>
            <w:r>
              <w:t>35</w:t>
            </w:r>
          </w:p>
        </w:tc>
        <w:tc>
          <w:tcPr>
            <w:tcW w:w="2246" w:type="dxa"/>
            <w:tcBorders>
              <w:top w:val="single" w:sz="4" w:space="0" w:color="auto"/>
              <w:left w:val="single" w:sz="4" w:space="0" w:color="auto"/>
              <w:right w:val="single" w:sz="4" w:space="0" w:color="auto"/>
            </w:tcBorders>
            <w:shd w:val="clear" w:color="auto" w:fill="auto"/>
          </w:tcPr>
          <w:p w14:paraId="20477B88" w14:textId="77777777" w:rsidR="002D4B6A" w:rsidRDefault="00AB0766">
            <w:pPr>
              <w:pStyle w:val="a7"/>
              <w:spacing w:line="240" w:lineRule="auto"/>
              <w:jc w:val="center"/>
            </w:pPr>
            <w:r>
              <w:t>12</w:t>
            </w:r>
          </w:p>
        </w:tc>
      </w:tr>
      <w:tr w:rsidR="002D4B6A" w14:paraId="1E8D5738" w14:textId="77777777">
        <w:trPr>
          <w:trHeight w:hRule="exact" w:val="326"/>
          <w:jc w:val="center"/>
        </w:trPr>
        <w:tc>
          <w:tcPr>
            <w:tcW w:w="1906" w:type="dxa"/>
            <w:tcBorders>
              <w:top w:val="single" w:sz="4" w:space="0" w:color="auto"/>
              <w:left w:val="single" w:sz="4" w:space="0" w:color="auto"/>
            </w:tcBorders>
            <w:shd w:val="clear" w:color="auto" w:fill="auto"/>
          </w:tcPr>
          <w:p w14:paraId="431C3B22" w14:textId="77777777" w:rsidR="002D4B6A" w:rsidRDefault="00AB0766">
            <w:pPr>
              <w:pStyle w:val="a7"/>
              <w:spacing w:line="240" w:lineRule="auto"/>
              <w:jc w:val="center"/>
            </w:pPr>
            <w:r>
              <w:t>80</w:t>
            </w:r>
          </w:p>
        </w:tc>
        <w:tc>
          <w:tcPr>
            <w:tcW w:w="2074" w:type="dxa"/>
            <w:tcBorders>
              <w:top w:val="single" w:sz="4" w:space="0" w:color="auto"/>
              <w:left w:val="single" w:sz="4" w:space="0" w:color="auto"/>
            </w:tcBorders>
            <w:shd w:val="clear" w:color="auto" w:fill="auto"/>
          </w:tcPr>
          <w:p w14:paraId="2D156D7B" w14:textId="77777777" w:rsidR="002D4B6A" w:rsidRDefault="00AB0766">
            <w:pPr>
              <w:pStyle w:val="a7"/>
              <w:spacing w:line="240" w:lineRule="auto"/>
              <w:jc w:val="center"/>
            </w:pPr>
            <w:r>
              <w:t>27</w:t>
            </w:r>
          </w:p>
        </w:tc>
        <w:tc>
          <w:tcPr>
            <w:tcW w:w="1896" w:type="dxa"/>
            <w:tcBorders>
              <w:top w:val="single" w:sz="4" w:space="0" w:color="auto"/>
              <w:left w:val="single" w:sz="4" w:space="0" w:color="auto"/>
            </w:tcBorders>
            <w:shd w:val="clear" w:color="auto" w:fill="auto"/>
          </w:tcPr>
          <w:p w14:paraId="2A15D144" w14:textId="77777777" w:rsidR="002D4B6A" w:rsidRDefault="00AB0766">
            <w:pPr>
              <w:pStyle w:val="a7"/>
              <w:spacing w:line="240" w:lineRule="auto"/>
              <w:jc w:val="center"/>
            </w:pPr>
            <w:r>
              <w:t>8</w:t>
            </w:r>
          </w:p>
        </w:tc>
        <w:tc>
          <w:tcPr>
            <w:tcW w:w="1766" w:type="dxa"/>
            <w:tcBorders>
              <w:top w:val="single" w:sz="4" w:space="0" w:color="auto"/>
              <w:left w:val="single" w:sz="4" w:space="0" w:color="auto"/>
            </w:tcBorders>
            <w:shd w:val="clear" w:color="auto" w:fill="auto"/>
          </w:tcPr>
          <w:p w14:paraId="2209DF6B" w14:textId="77777777" w:rsidR="002D4B6A" w:rsidRDefault="00AB0766">
            <w:pPr>
              <w:pStyle w:val="a7"/>
              <w:spacing w:line="240" w:lineRule="auto"/>
              <w:jc w:val="center"/>
            </w:pPr>
            <w:r>
              <w:t>40</w:t>
            </w:r>
          </w:p>
        </w:tc>
        <w:tc>
          <w:tcPr>
            <w:tcW w:w="2246" w:type="dxa"/>
            <w:tcBorders>
              <w:top w:val="single" w:sz="4" w:space="0" w:color="auto"/>
              <w:left w:val="single" w:sz="4" w:space="0" w:color="auto"/>
              <w:right w:val="single" w:sz="4" w:space="0" w:color="auto"/>
            </w:tcBorders>
            <w:shd w:val="clear" w:color="auto" w:fill="auto"/>
          </w:tcPr>
          <w:p w14:paraId="6FCCCACF" w14:textId="77777777" w:rsidR="002D4B6A" w:rsidRDefault="00AB0766">
            <w:pPr>
              <w:pStyle w:val="a7"/>
              <w:spacing w:line="240" w:lineRule="auto"/>
              <w:jc w:val="center"/>
            </w:pPr>
            <w:r>
              <w:t>13</w:t>
            </w:r>
          </w:p>
        </w:tc>
      </w:tr>
      <w:tr w:rsidR="002D4B6A" w14:paraId="470CF2D9" w14:textId="77777777">
        <w:trPr>
          <w:trHeight w:hRule="exact" w:val="326"/>
          <w:jc w:val="center"/>
        </w:trPr>
        <w:tc>
          <w:tcPr>
            <w:tcW w:w="1906" w:type="dxa"/>
            <w:tcBorders>
              <w:top w:val="single" w:sz="4" w:space="0" w:color="auto"/>
              <w:left w:val="single" w:sz="4" w:space="0" w:color="auto"/>
            </w:tcBorders>
            <w:shd w:val="clear" w:color="auto" w:fill="auto"/>
          </w:tcPr>
          <w:p w14:paraId="2F57C81A" w14:textId="77777777" w:rsidR="002D4B6A" w:rsidRDefault="00AB0766">
            <w:pPr>
              <w:pStyle w:val="a7"/>
              <w:spacing w:line="240" w:lineRule="auto"/>
              <w:jc w:val="center"/>
            </w:pPr>
            <w:r>
              <w:t>90</w:t>
            </w:r>
          </w:p>
        </w:tc>
        <w:tc>
          <w:tcPr>
            <w:tcW w:w="2074" w:type="dxa"/>
            <w:tcBorders>
              <w:top w:val="single" w:sz="4" w:space="0" w:color="auto"/>
              <w:left w:val="single" w:sz="4" w:space="0" w:color="auto"/>
            </w:tcBorders>
            <w:shd w:val="clear" w:color="auto" w:fill="auto"/>
          </w:tcPr>
          <w:p w14:paraId="55A44F3B" w14:textId="77777777" w:rsidR="002D4B6A" w:rsidRDefault="00AB0766">
            <w:pPr>
              <w:pStyle w:val="a7"/>
              <w:spacing w:line="240" w:lineRule="auto"/>
              <w:jc w:val="center"/>
            </w:pPr>
            <w:r>
              <w:t>30</w:t>
            </w:r>
          </w:p>
        </w:tc>
        <w:tc>
          <w:tcPr>
            <w:tcW w:w="1896" w:type="dxa"/>
            <w:tcBorders>
              <w:top w:val="single" w:sz="4" w:space="0" w:color="auto"/>
              <w:left w:val="single" w:sz="4" w:space="0" w:color="auto"/>
            </w:tcBorders>
            <w:shd w:val="clear" w:color="auto" w:fill="auto"/>
          </w:tcPr>
          <w:p w14:paraId="1B8076B5" w14:textId="77777777" w:rsidR="002D4B6A" w:rsidRDefault="00AB0766">
            <w:pPr>
              <w:pStyle w:val="a7"/>
              <w:spacing w:line="240" w:lineRule="auto"/>
              <w:jc w:val="center"/>
            </w:pPr>
            <w:r>
              <w:t>9</w:t>
            </w:r>
          </w:p>
        </w:tc>
        <w:tc>
          <w:tcPr>
            <w:tcW w:w="1766" w:type="dxa"/>
            <w:tcBorders>
              <w:top w:val="single" w:sz="4" w:space="0" w:color="auto"/>
              <w:left w:val="single" w:sz="4" w:space="0" w:color="auto"/>
            </w:tcBorders>
            <w:shd w:val="clear" w:color="auto" w:fill="auto"/>
          </w:tcPr>
          <w:p w14:paraId="2A56C34A" w14:textId="77777777" w:rsidR="002D4B6A" w:rsidRDefault="00AB0766">
            <w:pPr>
              <w:pStyle w:val="a7"/>
              <w:spacing w:line="240" w:lineRule="auto"/>
              <w:jc w:val="center"/>
            </w:pPr>
            <w:r>
              <w:t>45</w:t>
            </w:r>
          </w:p>
        </w:tc>
        <w:tc>
          <w:tcPr>
            <w:tcW w:w="2246" w:type="dxa"/>
            <w:tcBorders>
              <w:top w:val="single" w:sz="4" w:space="0" w:color="auto"/>
              <w:left w:val="single" w:sz="4" w:space="0" w:color="auto"/>
              <w:right w:val="single" w:sz="4" w:space="0" w:color="auto"/>
            </w:tcBorders>
            <w:shd w:val="clear" w:color="auto" w:fill="auto"/>
          </w:tcPr>
          <w:p w14:paraId="5D8EB6F0" w14:textId="77777777" w:rsidR="002D4B6A" w:rsidRDefault="00AB0766">
            <w:pPr>
              <w:pStyle w:val="a7"/>
              <w:spacing w:line="240" w:lineRule="auto"/>
              <w:jc w:val="center"/>
            </w:pPr>
            <w:r>
              <w:t>15</w:t>
            </w:r>
          </w:p>
        </w:tc>
      </w:tr>
      <w:tr w:rsidR="002D4B6A" w14:paraId="661157CE" w14:textId="77777777">
        <w:trPr>
          <w:trHeight w:hRule="exact" w:val="336"/>
          <w:jc w:val="center"/>
        </w:trPr>
        <w:tc>
          <w:tcPr>
            <w:tcW w:w="1906" w:type="dxa"/>
            <w:tcBorders>
              <w:top w:val="single" w:sz="4" w:space="0" w:color="auto"/>
              <w:left w:val="single" w:sz="4" w:space="0" w:color="auto"/>
              <w:bottom w:val="single" w:sz="4" w:space="0" w:color="auto"/>
            </w:tcBorders>
            <w:shd w:val="clear" w:color="auto" w:fill="auto"/>
          </w:tcPr>
          <w:p w14:paraId="56CD4A9E" w14:textId="77777777" w:rsidR="002D4B6A" w:rsidRDefault="00AB0766">
            <w:pPr>
              <w:pStyle w:val="a7"/>
              <w:spacing w:line="240" w:lineRule="auto"/>
              <w:jc w:val="center"/>
            </w:pPr>
            <w:r>
              <w:t>100</w:t>
            </w:r>
          </w:p>
        </w:tc>
        <w:tc>
          <w:tcPr>
            <w:tcW w:w="2074" w:type="dxa"/>
            <w:tcBorders>
              <w:top w:val="single" w:sz="4" w:space="0" w:color="auto"/>
              <w:left w:val="single" w:sz="4" w:space="0" w:color="auto"/>
              <w:bottom w:val="single" w:sz="4" w:space="0" w:color="auto"/>
            </w:tcBorders>
            <w:shd w:val="clear" w:color="auto" w:fill="auto"/>
          </w:tcPr>
          <w:p w14:paraId="1CB47CCC" w14:textId="77777777" w:rsidR="002D4B6A" w:rsidRDefault="00AB0766">
            <w:pPr>
              <w:pStyle w:val="a7"/>
              <w:spacing w:line="240" w:lineRule="auto"/>
              <w:jc w:val="center"/>
            </w:pPr>
            <w:r>
              <w:t>33</w:t>
            </w:r>
          </w:p>
        </w:tc>
        <w:tc>
          <w:tcPr>
            <w:tcW w:w="1896" w:type="dxa"/>
            <w:tcBorders>
              <w:top w:val="single" w:sz="4" w:space="0" w:color="auto"/>
              <w:left w:val="single" w:sz="4" w:space="0" w:color="auto"/>
              <w:bottom w:val="single" w:sz="4" w:space="0" w:color="auto"/>
            </w:tcBorders>
            <w:shd w:val="clear" w:color="auto" w:fill="auto"/>
          </w:tcPr>
          <w:p w14:paraId="53245914" w14:textId="77777777" w:rsidR="002D4B6A" w:rsidRDefault="00AB0766">
            <w:pPr>
              <w:pStyle w:val="a7"/>
              <w:spacing w:line="240" w:lineRule="auto"/>
              <w:jc w:val="center"/>
            </w:pPr>
            <w:r>
              <w:t>10</w:t>
            </w:r>
          </w:p>
        </w:tc>
        <w:tc>
          <w:tcPr>
            <w:tcW w:w="1766" w:type="dxa"/>
            <w:tcBorders>
              <w:top w:val="single" w:sz="4" w:space="0" w:color="auto"/>
              <w:left w:val="single" w:sz="4" w:space="0" w:color="auto"/>
              <w:bottom w:val="single" w:sz="4" w:space="0" w:color="auto"/>
            </w:tcBorders>
            <w:shd w:val="clear" w:color="auto" w:fill="auto"/>
          </w:tcPr>
          <w:p w14:paraId="347A2C3C" w14:textId="77777777" w:rsidR="002D4B6A" w:rsidRDefault="00AB0766">
            <w:pPr>
              <w:pStyle w:val="a7"/>
              <w:spacing w:line="240" w:lineRule="auto"/>
              <w:jc w:val="center"/>
            </w:pPr>
            <w:r>
              <w:t>50</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4DFFB6B7" w14:textId="77777777" w:rsidR="002D4B6A" w:rsidRDefault="00AB0766">
            <w:pPr>
              <w:pStyle w:val="a7"/>
              <w:spacing w:line="240" w:lineRule="auto"/>
              <w:jc w:val="center"/>
            </w:pPr>
            <w:r>
              <w:t>17</w:t>
            </w:r>
          </w:p>
        </w:tc>
      </w:tr>
    </w:tbl>
    <w:p w14:paraId="4262650F" w14:textId="77777777" w:rsidR="002D4B6A" w:rsidRDefault="00AB0766">
      <w:pPr>
        <w:pStyle w:val="a5"/>
        <w:ind w:left="250"/>
      </w:pPr>
      <w:r>
        <w:t>Суюлтулбаган эритмелерди колдонуу</w:t>
      </w:r>
    </w:p>
    <w:p w14:paraId="53CBC784" w14:textId="77777777" w:rsidR="002D4B6A" w:rsidRDefault="00AB0766">
      <w:pPr>
        <w:pStyle w:val="1"/>
        <w:spacing w:line="300" w:lineRule="auto"/>
        <w:jc w:val="both"/>
      </w:pPr>
      <w:r>
        <w:t xml:space="preserve">Препаратты перфузордун жардамы менен суюлтулбаган </w:t>
      </w:r>
      <w:r>
        <w:rPr>
          <w:lang w:val="ky" w:eastAsia="ky" w:bidi="ky"/>
        </w:rPr>
        <w:t xml:space="preserve">түрүндө </w:t>
      </w:r>
      <w:r>
        <w:t>да колдонууга болот: 1 мл препараттын курамында 1 мг изосорбид динитрат бар.</w:t>
      </w:r>
    </w:p>
    <w:p w14:paraId="4BB1EF57" w14:textId="77777777" w:rsidR="002D4B6A" w:rsidRDefault="00AB0766">
      <w:pPr>
        <w:pStyle w:val="1"/>
        <w:spacing w:after="320" w:line="300" w:lineRule="auto"/>
        <w:jc w:val="both"/>
      </w:pPr>
      <w:r>
        <w:t>Куюда сунуштарды сактоо зарыл.</w:t>
      </w:r>
    </w:p>
    <w:p w14:paraId="0437B506" w14:textId="77777777" w:rsidR="002D4B6A" w:rsidRDefault="00AB0766">
      <w:pPr>
        <w:pStyle w:val="1"/>
        <w:spacing w:line="300" w:lineRule="auto"/>
        <w:jc w:val="both"/>
      </w:pPr>
      <w:r>
        <w:rPr>
          <w:i/>
          <w:iCs/>
        </w:rPr>
        <w:t>Балдар.</w:t>
      </w:r>
    </w:p>
    <w:p w14:paraId="6828678A" w14:textId="77777777" w:rsidR="002D4B6A" w:rsidRDefault="00AB0766">
      <w:pPr>
        <w:pStyle w:val="1"/>
        <w:spacing w:after="320" w:line="300" w:lineRule="auto"/>
        <w:jc w:val="both"/>
      </w:pPr>
      <w:r>
        <w:t>Балдарда (18 жашка чейинки) изосорбид динитраттын коопсуздугу жана натыйжалуулугу изилденген эмес.</w:t>
      </w:r>
    </w:p>
    <w:p w14:paraId="71191A75" w14:textId="77777777" w:rsidR="002D4B6A" w:rsidRDefault="00AB0766">
      <w:pPr>
        <w:pStyle w:val="11"/>
        <w:keepNext/>
        <w:keepLines/>
        <w:jc w:val="both"/>
      </w:pPr>
      <w:bookmarkStart w:id="10" w:name="bookmark20"/>
      <w:r>
        <w:t>Ашыкча доза</w:t>
      </w:r>
      <w:bookmarkEnd w:id="10"/>
    </w:p>
    <w:p w14:paraId="6B18E7F9" w14:textId="77777777" w:rsidR="002D4B6A" w:rsidRDefault="00AB0766">
      <w:pPr>
        <w:pStyle w:val="1"/>
        <w:jc w:val="both"/>
      </w:pPr>
      <w:r>
        <w:rPr>
          <w:i/>
          <w:iCs/>
        </w:rPr>
        <w:t>Симпгпомдору:</w:t>
      </w:r>
      <w:r>
        <w:t xml:space="preserve"> артериялык басымдын 90 мм рт. ст. чейин жана андан да ылдый </w:t>
      </w:r>
      <w:r>
        <w:rPr>
          <w:lang w:val="ky" w:eastAsia="ky" w:bidi="ky"/>
        </w:rPr>
        <w:t xml:space="preserve">төмөндөшү; </w:t>
      </w:r>
      <w:r>
        <w:t xml:space="preserve">кубаруу; жогорку тердоо; пульстун алсыз толушу; тахикардия; баш айлануу (анын ичинде дененин абалын </w:t>
      </w:r>
      <w:r>
        <w:rPr>
          <w:lang w:val="ky" w:eastAsia="ky" w:bidi="ky"/>
        </w:rPr>
        <w:t xml:space="preserve">өзгөртүүдө </w:t>
      </w:r>
      <w:r>
        <w:t xml:space="preserve">ортостатикалык реакциялар); баш ооруу; алсыздык; </w:t>
      </w:r>
      <w:r>
        <w:rPr>
          <w:lang w:val="ky" w:eastAsia="ky" w:bidi="ky"/>
        </w:rPr>
        <w:t xml:space="preserve">жүрөк </w:t>
      </w:r>
      <w:r>
        <w:t xml:space="preserve">айлануу; кусуу; ич </w:t>
      </w:r>
      <w:r>
        <w:rPr>
          <w:lang w:val="ky" w:eastAsia="ky" w:bidi="ky"/>
        </w:rPr>
        <w:t xml:space="preserve">өтүү; </w:t>
      </w:r>
      <w:r>
        <w:t xml:space="preserve">метгемоглобинемия эсин жоготууга, </w:t>
      </w:r>
      <w:r>
        <w:rPr>
          <w:lang w:val="ky" w:eastAsia="ky" w:bidi="ky"/>
        </w:rPr>
        <w:t xml:space="preserve">жүрөктүн </w:t>
      </w:r>
      <w:r>
        <w:t xml:space="preserve">токтоп калышына чейин алып келиши </w:t>
      </w:r>
      <w:r>
        <w:rPr>
          <w:lang w:val="ky" w:eastAsia="ky" w:bidi="ky"/>
        </w:rPr>
        <w:t>мүмкүн.</w:t>
      </w:r>
    </w:p>
    <w:p w14:paraId="358823D5" w14:textId="77777777" w:rsidR="002D4B6A" w:rsidRDefault="00AB0766">
      <w:pPr>
        <w:pStyle w:val="1"/>
        <w:jc w:val="both"/>
      </w:pPr>
      <w:r>
        <w:t xml:space="preserve">Башка нитраттарды кабыл алган бейтаптарда метгемоглобинемия жана андан кийинки тахипноэ, тынчсыздануу сезими, эсин жоготуу жана </w:t>
      </w:r>
      <w:r>
        <w:rPr>
          <w:lang w:val="ky" w:eastAsia="ky" w:bidi="ky"/>
        </w:rPr>
        <w:t xml:space="preserve">жүрөктүн </w:t>
      </w:r>
      <w:r>
        <w:t>токтоп калуу учурлары менен цианоз учурлары белгиленген.</w:t>
      </w:r>
    </w:p>
    <w:p w14:paraId="42D37D44" w14:textId="77777777" w:rsidR="002D4B6A" w:rsidRDefault="00AB0766">
      <w:pPr>
        <w:pStyle w:val="1"/>
        <w:spacing w:after="320"/>
        <w:jc w:val="both"/>
      </w:pPr>
      <w:r>
        <w:t xml:space="preserve">Изосорбид динитраттын ашыкча дозасы менен учурда бул жагымсыз реакциянын пайда болуу </w:t>
      </w:r>
      <w:r>
        <w:rPr>
          <w:lang w:val="ky" w:eastAsia="ky" w:bidi="ky"/>
        </w:rPr>
        <w:t xml:space="preserve">мүмкүнчүлүгүн </w:t>
      </w:r>
      <w:r>
        <w:t xml:space="preserve">жокко чыгарууга болбойт. Абдан чоц дозалар баш соек ички басымдын жогорулоосунун симптомдорунга алып келиши </w:t>
      </w:r>
      <w:r>
        <w:rPr>
          <w:lang w:val="ky" w:eastAsia="ky" w:bidi="ky"/>
        </w:rPr>
        <w:t xml:space="preserve">мүмкүн, </w:t>
      </w:r>
      <w:r>
        <w:t>ал церебралдык симптомдорго алып келиши ыктымал.</w:t>
      </w:r>
    </w:p>
    <w:p w14:paraId="46798034" w14:textId="77777777" w:rsidR="002D4B6A" w:rsidRDefault="00AB0766">
      <w:pPr>
        <w:pStyle w:val="1"/>
        <w:jc w:val="both"/>
      </w:pPr>
      <w:r>
        <w:rPr>
          <w:i/>
          <w:iCs/>
        </w:rPr>
        <w:t>Дарылоо.</w:t>
      </w:r>
    </w:p>
    <w:p w14:paraId="3E383750" w14:textId="77777777" w:rsidR="002D4B6A" w:rsidRDefault="00AB0766">
      <w:pPr>
        <w:pStyle w:val="1"/>
        <w:jc w:val="both"/>
      </w:pPr>
      <w:r>
        <w:t xml:space="preserve">Адамдын организмине препараттын келип </w:t>
      </w:r>
      <w:r>
        <w:rPr>
          <w:lang w:val="ky" w:eastAsia="ky" w:bidi="ky"/>
        </w:rPr>
        <w:t xml:space="preserve">түшүүсүн </w:t>
      </w:r>
      <w:r>
        <w:t>токтотуу.</w:t>
      </w:r>
    </w:p>
    <w:p w14:paraId="0DAECB89" w14:textId="77777777" w:rsidR="002D4B6A" w:rsidRDefault="00AB0766">
      <w:pPr>
        <w:pStyle w:val="1"/>
        <w:jc w:val="both"/>
      </w:pPr>
      <w:r>
        <w:rPr>
          <w:u w:val="single"/>
        </w:rPr>
        <w:t xml:space="preserve">Жалпы иш-чаралар: </w:t>
      </w:r>
      <w:r>
        <w:t xml:space="preserve">бейтапка башын ылдый жана буттарын </w:t>
      </w:r>
      <w:r>
        <w:rPr>
          <w:lang w:val="ky" w:eastAsia="ky" w:bidi="ky"/>
        </w:rPr>
        <w:t xml:space="preserve">өйдө көтөрүп </w:t>
      </w:r>
      <w:r>
        <w:t xml:space="preserve">горизонталдуу абалды </w:t>
      </w:r>
      <w:r>
        <w:rPr>
          <w:lang w:val="ky" w:eastAsia="ky" w:bidi="ky"/>
        </w:rPr>
        <w:t xml:space="preserve">берүү; </w:t>
      </w:r>
      <w:r>
        <w:t xml:space="preserve">кычкылтек менен камсыз кылуу; айлануудагы кан </w:t>
      </w:r>
      <w:r>
        <w:rPr>
          <w:lang w:val="ky" w:eastAsia="ky" w:bidi="ky"/>
        </w:rPr>
        <w:t xml:space="preserve">көлөмүн көбөйтүү, </w:t>
      </w:r>
      <w:r>
        <w:t xml:space="preserve">ыкчам жардам </w:t>
      </w:r>
      <w:r>
        <w:rPr>
          <w:lang w:val="ky" w:eastAsia="ky" w:bidi="ky"/>
        </w:rPr>
        <w:t xml:space="preserve">көрсөтүү бөлүмүндө </w:t>
      </w:r>
      <w:r>
        <w:t xml:space="preserve">атайын шокко каршы дарылоосун </w:t>
      </w:r>
      <w:r>
        <w:rPr>
          <w:lang w:val="ky" w:eastAsia="ky" w:bidi="ky"/>
        </w:rPr>
        <w:t>жүргүзүү.</w:t>
      </w:r>
    </w:p>
    <w:p w14:paraId="05C30796" w14:textId="77777777" w:rsidR="002D4B6A" w:rsidRDefault="00AB0766">
      <w:pPr>
        <w:pStyle w:val="1"/>
        <w:jc w:val="both"/>
      </w:pPr>
      <w:r>
        <w:rPr>
          <w:u w:val="single"/>
        </w:rPr>
        <w:t>Атайын иш-чаралар: э</w:t>
      </w:r>
      <w:r>
        <w:t>герде артериялык басымы ото томен болсо, аны жогорулатуу; кошумча суюктук дарылоосуна адекваттуу жооп болбогон учурда кан тамырларды тарытуучу каражаттарды колдонуу.</w:t>
      </w:r>
    </w:p>
    <w:p w14:paraId="2606BD8A" w14:textId="77777777" w:rsidR="002D4B6A" w:rsidRDefault="00AB0766">
      <w:pPr>
        <w:pStyle w:val="1"/>
        <w:jc w:val="both"/>
      </w:pPr>
      <w:r>
        <w:rPr>
          <w:u w:val="single"/>
        </w:rPr>
        <w:t>Метемоглобинемияны дарылоо:</w:t>
      </w:r>
    </w:p>
    <w:p w14:paraId="6BA22BE0" w14:textId="77777777" w:rsidR="002D4B6A" w:rsidRDefault="00AB0766">
      <w:pPr>
        <w:pStyle w:val="1"/>
        <w:numPr>
          <w:ilvl w:val="0"/>
          <w:numId w:val="3"/>
        </w:numPr>
        <w:tabs>
          <w:tab w:val="left" w:pos="299"/>
        </w:tabs>
        <w:jc w:val="both"/>
      </w:pPr>
      <w:r>
        <w:t xml:space="preserve">витамин С, метилен кек же толуидин кек менен калыбына </w:t>
      </w:r>
      <w:r>
        <w:rPr>
          <w:lang w:val="ky" w:eastAsia="ky" w:bidi="ky"/>
        </w:rPr>
        <w:t xml:space="preserve">келтирүүчү </w:t>
      </w:r>
      <w:r>
        <w:t>дарылоо;</w:t>
      </w:r>
    </w:p>
    <w:p w14:paraId="477A1AEC" w14:textId="77777777" w:rsidR="002D4B6A" w:rsidRDefault="00AB0766">
      <w:pPr>
        <w:pStyle w:val="1"/>
        <w:numPr>
          <w:ilvl w:val="0"/>
          <w:numId w:val="3"/>
        </w:numPr>
        <w:tabs>
          <w:tab w:val="left" w:pos="299"/>
        </w:tabs>
        <w:jc w:val="both"/>
      </w:pPr>
      <w:r>
        <w:t>кычкылтек колдонуу (зарыл болсо);</w:t>
      </w:r>
    </w:p>
    <w:p w14:paraId="3267B4F7" w14:textId="77777777" w:rsidR="002D4B6A" w:rsidRDefault="00AB0766">
      <w:pPr>
        <w:pStyle w:val="1"/>
        <w:numPr>
          <w:ilvl w:val="0"/>
          <w:numId w:val="3"/>
        </w:numPr>
        <w:tabs>
          <w:tab w:val="left" w:pos="299"/>
        </w:tabs>
        <w:jc w:val="both"/>
      </w:pPr>
      <w:r>
        <w:rPr>
          <w:lang w:val="ky" w:eastAsia="ky" w:bidi="ky"/>
        </w:rPr>
        <w:t xml:space="preserve">өпкөнү </w:t>
      </w:r>
      <w:r>
        <w:t xml:space="preserve">жасалма </w:t>
      </w:r>
      <w:r>
        <w:rPr>
          <w:lang w:val="ky" w:eastAsia="ky" w:bidi="ky"/>
        </w:rPr>
        <w:t>желдетүү;</w:t>
      </w:r>
    </w:p>
    <w:p w14:paraId="4F962A6B" w14:textId="77777777" w:rsidR="002D4B6A" w:rsidRDefault="00AB0766">
      <w:pPr>
        <w:pStyle w:val="1"/>
        <w:numPr>
          <w:ilvl w:val="0"/>
          <w:numId w:val="3"/>
        </w:numPr>
        <w:tabs>
          <w:tab w:val="left" w:pos="299"/>
        </w:tabs>
        <w:spacing w:line="300" w:lineRule="auto"/>
        <w:jc w:val="both"/>
      </w:pPr>
      <w:r>
        <w:t>гемодиализ (зарыл болсо).</w:t>
      </w:r>
    </w:p>
    <w:p w14:paraId="4EE617AC" w14:textId="77777777" w:rsidR="002D4B6A" w:rsidRDefault="00AB0766">
      <w:pPr>
        <w:pStyle w:val="1"/>
        <w:spacing w:after="320" w:line="300" w:lineRule="auto"/>
        <w:jc w:val="both"/>
      </w:pPr>
      <w:r>
        <w:rPr>
          <w:u w:val="single"/>
        </w:rPr>
        <w:t xml:space="preserve">Реанимациялык иш-чаралары: </w:t>
      </w:r>
      <w:r>
        <w:t xml:space="preserve">дем алуу же </w:t>
      </w:r>
      <w:r>
        <w:rPr>
          <w:lang w:val="ky" w:eastAsia="ky" w:bidi="ky"/>
        </w:rPr>
        <w:t xml:space="preserve">жүрөк ишмердүүлүгү </w:t>
      </w:r>
      <w:r>
        <w:t xml:space="preserve">токтоп калган учурда дароо реанимациялык чараларын </w:t>
      </w:r>
      <w:r>
        <w:rPr>
          <w:lang w:val="ky" w:eastAsia="ky" w:bidi="ky"/>
        </w:rPr>
        <w:t>көрүү.</w:t>
      </w:r>
    </w:p>
    <w:p w14:paraId="6C27024A" w14:textId="77777777" w:rsidR="002D4B6A" w:rsidRDefault="00AB0766">
      <w:pPr>
        <w:pStyle w:val="11"/>
        <w:keepNext/>
        <w:keepLines/>
        <w:spacing w:line="300" w:lineRule="auto"/>
        <w:jc w:val="both"/>
      </w:pPr>
      <w:bookmarkStart w:id="11" w:name="bookmark22"/>
      <w:r>
        <w:t>Кыйыр реакциялар</w:t>
      </w:r>
      <w:bookmarkEnd w:id="11"/>
    </w:p>
    <w:p w14:paraId="2F8FC4CC" w14:textId="77777777" w:rsidR="002D4B6A" w:rsidRDefault="00AB0766">
      <w:pPr>
        <w:pStyle w:val="1"/>
        <w:spacing w:line="300" w:lineRule="auto"/>
        <w:jc w:val="both"/>
      </w:pPr>
      <w:r>
        <w:t xml:space="preserve">Кыйыр таасирлердин жыштыгы </w:t>
      </w:r>
      <w:r>
        <w:rPr>
          <w:lang w:val="ky" w:eastAsia="ky" w:bidi="ky"/>
        </w:rPr>
        <w:t xml:space="preserve">төмөнкүчө </w:t>
      </w:r>
      <w:r>
        <w:t xml:space="preserve">аныкталат: </w:t>
      </w:r>
      <w:r>
        <w:rPr>
          <w:lang w:val="ky" w:eastAsia="ky" w:bidi="ky"/>
        </w:rPr>
        <w:t xml:space="preserve">өтө </w:t>
      </w:r>
      <w:r>
        <w:t xml:space="preserve">тез-тез (&gt; 1/10), тез-тез (&gt; 1/100, &lt; 1/10), кепэмес (&gt; 1/1000, &lt; 1/100), сейрек (&gt; 1/) 10000, &lt; 1/1000), </w:t>
      </w:r>
      <w:r>
        <w:rPr>
          <w:lang w:val="ky" w:eastAsia="ky" w:bidi="ky"/>
        </w:rPr>
        <w:t xml:space="preserve">өтө </w:t>
      </w:r>
      <w:r>
        <w:t xml:space="preserve">сейрек (&lt; 1/10000), белгисиз (бар болгон маалыматтар боюнча аныктоо </w:t>
      </w:r>
      <w:r>
        <w:rPr>
          <w:lang w:val="ky" w:eastAsia="ky" w:bidi="ky"/>
        </w:rPr>
        <w:t xml:space="preserve">мүмкүн </w:t>
      </w:r>
      <w:r>
        <w:t>эмес).</w:t>
      </w:r>
    </w:p>
    <w:p w14:paraId="397D9FF3" w14:textId="77777777" w:rsidR="002D4B6A" w:rsidRDefault="00AB0766">
      <w:pPr>
        <w:pStyle w:val="1"/>
        <w:spacing w:line="300" w:lineRule="auto"/>
        <w:jc w:val="both"/>
      </w:pPr>
      <w:r>
        <w:t xml:space="preserve">Изосорбид динитратты колдонууда </w:t>
      </w:r>
      <w:r>
        <w:rPr>
          <w:lang w:val="ky" w:eastAsia="ky" w:bidi="ky"/>
        </w:rPr>
        <w:t xml:space="preserve">төмөнкү </w:t>
      </w:r>
      <w:r>
        <w:t xml:space="preserve">кыйыр таасирлер пайда болушу </w:t>
      </w:r>
      <w:r>
        <w:rPr>
          <w:lang w:val="ky" w:eastAsia="ky" w:bidi="ky"/>
        </w:rPr>
        <w:t>мүмкүн.</w:t>
      </w:r>
    </w:p>
    <w:p w14:paraId="236DFEF4" w14:textId="77777777" w:rsidR="002D4B6A" w:rsidRDefault="00AB0766">
      <w:pPr>
        <w:pStyle w:val="1"/>
        <w:spacing w:line="300" w:lineRule="auto"/>
        <w:jc w:val="both"/>
      </w:pPr>
      <w:r>
        <w:rPr>
          <w:i/>
          <w:iCs/>
          <w:u w:val="single"/>
        </w:rPr>
        <w:t>Нерв систпемасы тарабынан бузулуу.</w:t>
      </w:r>
    </w:p>
    <w:p w14:paraId="4DDA89AB" w14:textId="77777777" w:rsidR="002D4B6A" w:rsidRDefault="00AB0766">
      <w:pPr>
        <w:pStyle w:val="1"/>
        <w:spacing w:after="160" w:line="300" w:lineRule="auto"/>
        <w:jc w:val="both"/>
      </w:pPr>
      <w:r>
        <w:t>Абдан тез-тез: баш оору («нитраттык баш оору»);</w:t>
      </w:r>
    </w:p>
    <w:p w14:paraId="53E03358" w14:textId="77777777" w:rsidR="002D4B6A" w:rsidRDefault="00AB0766">
      <w:pPr>
        <w:pStyle w:val="1"/>
        <w:jc w:val="both"/>
      </w:pPr>
      <w:r>
        <w:t>тез-тез: баш айлануу, уйкучулук;</w:t>
      </w:r>
    </w:p>
    <w:p w14:paraId="5B1EA915" w14:textId="77777777" w:rsidR="002D4B6A" w:rsidRDefault="00AB0766">
      <w:pPr>
        <w:pStyle w:val="1"/>
        <w:jc w:val="both"/>
      </w:pPr>
      <w:r>
        <w:t>белгисиз: гипофиз шишиги менен ооруган бейтаптарда гипофизге кан куюлуу.</w:t>
      </w:r>
    </w:p>
    <w:p w14:paraId="42497CF8" w14:textId="77777777" w:rsidR="002D4B6A" w:rsidRDefault="00AB0766">
      <w:pPr>
        <w:pStyle w:val="1"/>
        <w:jc w:val="both"/>
      </w:pPr>
      <w:r>
        <w:rPr>
          <w:i/>
          <w:iCs/>
          <w:u w:val="single"/>
        </w:rPr>
        <w:t>Жууок тарабынан бузулуулар.</w:t>
      </w:r>
    </w:p>
    <w:p w14:paraId="184C16FB" w14:textId="77777777" w:rsidR="002D4B6A" w:rsidRDefault="00AB0766">
      <w:pPr>
        <w:pStyle w:val="1"/>
        <w:jc w:val="both"/>
      </w:pPr>
      <w:r>
        <w:t>Тез-тез: тахикардия;</w:t>
      </w:r>
    </w:p>
    <w:p w14:paraId="3A1A4957" w14:textId="77777777" w:rsidR="002D4B6A" w:rsidRDefault="00AB0766">
      <w:pPr>
        <w:pStyle w:val="1"/>
        <w:jc w:val="both"/>
      </w:pPr>
      <w:r>
        <w:t xml:space="preserve">коп эмес: стенокардия симптомдорунун </w:t>
      </w:r>
      <w:r>
        <w:rPr>
          <w:lang w:val="ky" w:eastAsia="ky" w:bidi="ky"/>
        </w:rPr>
        <w:t>күчөшү;</w:t>
      </w:r>
    </w:p>
    <w:p w14:paraId="1D7C6440" w14:textId="77777777" w:rsidR="002D4B6A" w:rsidRDefault="00AB0766">
      <w:pPr>
        <w:pStyle w:val="1"/>
        <w:jc w:val="both"/>
      </w:pPr>
      <w:r>
        <w:t>белгисиз: перифериялык шишимик (адатта сол карынчанын жетишсиздиги бар бейтаптарда).</w:t>
      </w:r>
    </w:p>
    <w:p w14:paraId="481EB654" w14:textId="77777777" w:rsidR="002D4B6A" w:rsidRDefault="00AB0766">
      <w:pPr>
        <w:pStyle w:val="1"/>
        <w:jc w:val="both"/>
      </w:pPr>
      <w:r>
        <w:rPr>
          <w:i/>
          <w:iCs/>
          <w:u w:val="single"/>
        </w:rPr>
        <w:t>Кан тамырлар тарабынан бузулуулар.</w:t>
      </w:r>
    </w:p>
    <w:p w14:paraId="5D458E81" w14:textId="77777777" w:rsidR="002D4B6A" w:rsidRDefault="00AB0766">
      <w:pPr>
        <w:pStyle w:val="1"/>
        <w:jc w:val="both"/>
      </w:pPr>
      <w:r>
        <w:t>Тез-тез: ортостатикалык гипотензия;</w:t>
      </w:r>
    </w:p>
    <w:p w14:paraId="5078CA79" w14:textId="77777777" w:rsidR="002D4B6A" w:rsidRDefault="00AB0766">
      <w:pPr>
        <w:pStyle w:val="1"/>
        <w:jc w:val="both"/>
      </w:pPr>
      <w:r>
        <w:t xml:space="preserve">коп эмес: кан тамыр коллапсы (кээде ал бир эле учурда брадиаритмия жана эс-учун жоготуу менен коштолушу </w:t>
      </w:r>
      <w:r>
        <w:rPr>
          <w:lang w:val="ky" w:eastAsia="ky" w:bidi="ky"/>
        </w:rPr>
        <w:t>мүмкүн);</w:t>
      </w:r>
    </w:p>
    <w:p w14:paraId="44FC551B" w14:textId="77777777" w:rsidR="002D4B6A" w:rsidRDefault="00AB0766">
      <w:pPr>
        <w:pStyle w:val="1"/>
        <w:jc w:val="both"/>
      </w:pPr>
      <w:r>
        <w:t>белгисиз: гипотензия.</w:t>
      </w:r>
    </w:p>
    <w:p w14:paraId="1F59BBC9" w14:textId="77777777" w:rsidR="002D4B6A" w:rsidRDefault="00AB0766">
      <w:pPr>
        <w:pStyle w:val="1"/>
        <w:jc w:val="both"/>
      </w:pPr>
      <w:r>
        <w:rPr>
          <w:i/>
          <w:iCs/>
          <w:u w:val="single"/>
        </w:rPr>
        <w:t>Ашказан-ичеги системасы тарабынан бузулуулау.</w:t>
      </w:r>
    </w:p>
    <w:p w14:paraId="5085D2BA" w14:textId="77777777" w:rsidR="002D4B6A" w:rsidRDefault="00AB0766">
      <w:pPr>
        <w:pStyle w:val="1"/>
        <w:jc w:val="both"/>
      </w:pPr>
      <w:r>
        <w:t xml:space="preserve">коп эмес: </w:t>
      </w:r>
      <w:r>
        <w:rPr>
          <w:lang w:val="ky" w:eastAsia="ky" w:bidi="ky"/>
        </w:rPr>
        <w:t xml:space="preserve">жүрөк </w:t>
      </w:r>
      <w:r>
        <w:t>айлануу, кусуу;</w:t>
      </w:r>
    </w:p>
    <w:p w14:paraId="38F21910" w14:textId="77777777" w:rsidR="002D4B6A" w:rsidRDefault="00AB0766">
      <w:pPr>
        <w:pStyle w:val="1"/>
        <w:jc w:val="both"/>
      </w:pPr>
      <w:r>
        <w:t>ото сейрек: зарна.</w:t>
      </w:r>
    </w:p>
    <w:p w14:paraId="3AB85F71" w14:textId="77777777" w:rsidR="002D4B6A" w:rsidRDefault="00AB0766">
      <w:pPr>
        <w:pStyle w:val="1"/>
        <w:jc w:val="both"/>
      </w:pPr>
      <w:r>
        <w:rPr>
          <w:i/>
          <w:iCs/>
          <w:u w:val="single"/>
        </w:rPr>
        <w:t>Тери жана терн астындагы ткандар тарабынан бузулуулау.</w:t>
      </w:r>
    </w:p>
    <w:p w14:paraId="4E3249B7" w14:textId="77777777" w:rsidR="002D4B6A" w:rsidRDefault="00AB0766">
      <w:pPr>
        <w:pStyle w:val="1"/>
        <w:jc w:val="both"/>
      </w:pPr>
      <w:r>
        <w:t xml:space="preserve">коп эмес: теринин аллергиялык реакциялары (мисалы, исиркектер), беттин кыска </w:t>
      </w:r>
      <w:r>
        <w:rPr>
          <w:lang w:val="ky" w:eastAsia="ky" w:bidi="ky"/>
        </w:rPr>
        <w:t xml:space="preserve">мөөнөттүү </w:t>
      </w:r>
      <w:r>
        <w:t>кызаруусу (шыкалуулар);</w:t>
      </w:r>
    </w:p>
    <w:p w14:paraId="7A42DF3F" w14:textId="77777777" w:rsidR="002D4B6A" w:rsidRDefault="00AB0766">
      <w:pPr>
        <w:pStyle w:val="1"/>
        <w:jc w:val="both"/>
      </w:pPr>
      <w:r>
        <w:t>ото сейрек: Квинке шишимиги, Стивенс-Джонсон синдрому;</w:t>
      </w:r>
    </w:p>
    <w:p w14:paraId="727B780F" w14:textId="77777777" w:rsidR="002D4B6A" w:rsidRDefault="00AB0766">
      <w:pPr>
        <w:pStyle w:val="1"/>
        <w:jc w:val="both"/>
      </w:pPr>
      <w:r>
        <w:t>белгисиз: эксфолиативдик дерматит, кычышуу.</w:t>
      </w:r>
    </w:p>
    <w:p w14:paraId="05B9C12D" w14:textId="77777777" w:rsidR="002D4B6A" w:rsidRDefault="00AB0766">
      <w:pPr>
        <w:pStyle w:val="1"/>
        <w:jc w:val="both"/>
      </w:pPr>
      <w:r>
        <w:t>Колдонуу жеринде бузулуулар жана жалпы бузулуулар.</w:t>
      </w:r>
    </w:p>
    <w:p w14:paraId="42349A36" w14:textId="77777777" w:rsidR="002D4B6A" w:rsidRDefault="00AB0766">
      <w:pPr>
        <w:pStyle w:val="1"/>
        <w:jc w:val="both"/>
      </w:pPr>
      <w:r>
        <w:t>Тез-тез: астения.</w:t>
      </w:r>
    </w:p>
    <w:p w14:paraId="770CF2AA" w14:textId="77777777" w:rsidR="002D4B6A" w:rsidRPr="00116BBA" w:rsidRDefault="00AB0766">
      <w:pPr>
        <w:pStyle w:val="1"/>
        <w:jc w:val="both"/>
        <w:rPr>
          <w:lang w:val="ky"/>
        </w:rPr>
      </w:pPr>
      <w:r>
        <w:t xml:space="preserve">Гематологиялык кыйыр таасирлери, анын ичинде метгемоглобинемия пайда болушу </w:t>
      </w:r>
      <w:r>
        <w:rPr>
          <w:lang w:val="ky" w:eastAsia="ky" w:bidi="ky"/>
        </w:rPr>
        <w:t xml:space="preserve">мүмкүн. Глюкоза-6-фосфатдегидрогеназанын </w:t>
      </w:r>
      <w:r w:rsidRPr="00116BBA">
        <w:rPr>
          <w:lang w:val="ky"/>
        </w:rPr>
        <w:t>жетишсиздиги менен ооруган бдейтапта изосорбид динитрат менен шартталган гемолитикалык аз кандуулук учурлары билдирилген.</w:t>
      </w:r>
    </w:p>
    <w:p w14:paraId="46C656EC" w14:textId="77777777" w:rsidR="002D4B6A" w:rsidRDefault="00AB0766">
      <w:pPr>
        <w:pStyle w:val="1"/>
        <w:jc w:val="both"/>
      </w:pPr>
      <w:r>
        <w:t xml:space="preserve">Эгерде жогорку сезгичтиктин биринчи белгилери байкалса, препаратты куюну токтотуу керек. Органикалык нитраттар </w:t>
      </w:r>
      <w:r>
        <w:rPr>
          <w:lang w:val="ky" w:eastAsia="ky" w:bidi="ky"/>
        </w:rPr>
        <w:t xml:space="preserve">үчүн, </w:t>
      </w:r>
      <w:r>
        <w:t xml:space="preserve">отчетторго ылайык катуу гипотензиялык реакция, анын ичинде </w:t>
      </w:r>
      <w:r>
        <w:rPr>
          <w:lang w:val="ky" w:eastAsia="ky" w:bidi="ky"/>
        </w:rPr>
        <w:t xml:space="preserve">жүрөк </w:t>
      </w:r>
      <w:r>
        <w:t xml:space="preserve">айлануу, кусуу, тынчы жоктук, кубаруу жана ашыкча </w:t>
      </w:r>
      <w:r>
        <w:rPr>
          <w:lang w:val="ky" w:eastAsia="ky" w:bidi="ky"/>
        </w:rPr>
        <w:t>тердөө мүнөздүү.</w:t>
      </w:r>
    </w:p>
    <w:p w14:paraId="42017C9E" w14:textId="77777777" w:rsidR="002D4B6A" w:rsidRPr="00116BBA" w:rsidRDefault="00AB0766">
      <w:pPr>
        <w:pStyle w:val="1"/>
        <w:jc w:val="both"/>
        <w:rPr>
          <w:lang w:val="ky"/>
        </w:rPr>
      </w:pPr>
      <w:r>
        <w:t xml:space="preserve">Изосорбид динитрат менен дарылоо учурунда гиповентиляцияланган альвеолярдык зоналардагы кан агымынын салыштырмалуу кайра </w:t>
      </w:r>
      <w:r>
        <w:rPr>
          <w:lang w:val="ky" w:eastAsia="ky" w:bidi="ky"/>
        </w:rPr>
        <w:t xml:space="preserve">бөлүштүрүлүшү </w:t>
      </w:r>
      <w:r>
        <w:t xml:space="preserve">менен шартталган убактылуу гипоксемия пайда болушу </w:t>
      </w:r>
      <w:r>
        <w:rPr>
          <w:lang w:val="ky" w:eastAsia="ky" w:bidi="ky"/>
        </w:rPr>
        <w:t xml:space="preserve">мүмкүн. </w:t>
      </w:r>
      <w:r w:rsidRPr="00116BBA">
        <w:rPr>
          <w:lang w:val="ky"/>
        </w:rPr>
        <w:t xml:space="preserve">Бул, озгочо, коронардык артерия оорусу менен ооруган бейтаптарда миокарддын гипоксиясына алый келиши </w:t>
      </w:r>
      <w:r>
        <w:rPr>
          <w:lang w:val="ky" w:eastAsia="ky" w:bidi="ky"/>
        </w:rPr>
        <w:t>мүмкүн.</w:t>
      </w:r>
    </w:p>
    <w:p w14:paraId="4E168DEB" w14:textId="77777777" w:rsidR="002D4B6A" w:rsidRPr="00116BBA" w:rsidRDefault="00AB0766">
      <w:pPr>
        <w:pStyle w:val="1"/>
        <w:spacing w:after="320"/>
        <w:jc w:val="both"/>
        <w:rPr>
          <w:lang w:val="ky"/>
        </w:rPr>
      </w:pPr>
      <w:r w:rsidRPr="00116BBA">
        <w:rPr>
          <w:lang w:val="ky"/>
        </w:rPr>
        <w:t xml:space="preserve">Изосорбид динитратына, ошондой эле башка нитраттарга кайчылаш толеранттуулуктун </w:t>
      </w:r>
      <w:r>
        <w:rPr>
          <w:lang w:val="ky" w:eastAsia="ky" w:bidi="ky"/>
        </w:rPr>
        <w:t xml:space="preserve">өнүгүү </w:t>
      </w:r>
      <w:r w:rsidRPr="00116BBA">
        <w:rPr>
          <w:lang w:val="ky"/>
        </w:rPr>
        <w:t xml:space="preserve">учурлары баяндалган. Жогорку дозаларды узак </w:t>
      </w:r>
      <w:r>
        <w:rPr>
          <w:lang w:val="ky" w:eastAsia="ky" w:bidi="ky"/>
        </w:rPr>
        <w:t xml:space="preserve">мөөнөттүү </w:t>
      </w:r>
      <w:r w:rsidRPr="00116BBA">
        <w:rPr>
          <w:lang w:val="ky"/>
        </w:rPr>
        <w:t xml:space="preserve">колдонуу жана/же дозаларды кабыл алуу ортосундагы интервалдын кыскарышы препараттын дарылык натыйжасынын азайышына же ал тургай дарылык натыйжасынын жоголушуна алый келиши </w:t>
      </w:r>
      <w:r>
        <w:rPr>
          <w:lang w:val="ky" w:eastAsia="ky" w:bidi="ky"/>
        </w:rPr>
        <w:t>мүмкүн.</w:t>
      </w:r>
    </w:p>
    <w:p w14:paraId="524F4603" w14:textId="77777777" w:rsidR="002D4B6A" w:rsidRPr="00116BBA" w:rsidRDefault="00AB0766">
      <w:pPr>
        <w:pStyle w:val="11"/>
        <w:keepNext/>
        <w:keepLines/>
        <w:jc w:val="both"/>
        <w:rPr>
          <w:lang w:val="ky"/>
        </w:rPr>
      </w:pPr>
      <w:bookmarkStart w:id="12" w:name="bookmark24"/>
      <w:r w:rsidRPr="00116BBA">
        <w:rPr>
          <w:lang w:val="ky"/>
        </w:rPr>
        <w:t xml:space="preserve">Жарактуулук </w:t>
      </w:r>
      <w:r>
        <w:rPr>
          <w:lang w:val="ky" w:eastAsia="ky" w:bidi="ky"/>
        </w:rPr>
        <w:t>мөөнөтү</w:t>
      </w:r>
      <w:bookmarkEnd w:id="12"/>
    </w:p>
    <w:p w14:paraId="463DD288" w14:textId="77777777" w:rsidR="002D4B6A" w:rsidRPr="00116BBA" w:rsidRDefault="00AB0766">
      <w:pPr>
        <w:pStyle w:val="1"/>
        <w:jc w:val="both"/>
        <w:rPr>
          <w:lang w:val="ky"/>
        </w:rPr>
      </w:pPr>
      <w:r w:rsidRPr="00116BBA">
        <w:rPr>
          <w:lang w:val="ky"/>
        </w:rPr>
        <w:t>3 жыл.</w:t>
      </w:r>
    </w:p>
    <w:p w14:paraId="4CC28565" w14:textId="77777777" w:rsidR="002D4B6A" w:rsidRPr="00116BBA" w:rsidRDefault="00AB0766">
      <w:pPr>
        <w:pStyle w:val="1"/>
        <w:spacing w:after="320"/>
        <w:jc w:val="both"/>
        <w:rPr>
          <w:lang w:val="ky"/>
        </w:rPr>
      </w:pPr>
      <w:r>
        <w:rPr>
          <w:lang w:val="ky" w:eastAsia="ky" w:bidi="ky"/>
        </w:rPr>
        <w:t xml:space="preserve">Таңгакчада көрсөтүлгөн </w:t>
      </w:r>
      <w:r w:rsidRPr="00116BBA">
        <w:rPr>
          <w:lang w:val="ky"/>
        </w:rPr>
        <w:t xml:space="preserve">жарактуулук </w:t>
      </w:r>
      <w:r>
        <w:rPr>
          <w:lang w:val="ky" w:eastAsia="ky" w:bidi="ky"/>
        </w:rPr>
        <w:t xml:space="preserve">мөөнөтү өткөндөн </w:t>
      </w:r>
      <w:r w:rsidRPr="00116BBA">
        <w:rPr>
          <w:lang w:val="ky"/>
        </w:rPr>
        <w:t>кийин колдонууга болбойт.</w:t>
      </w:r>
    </w:p>
    <w:p w14:paraId="5D84534C" w14:textId="77777777" w:rsidR="002D4B6A" w:rsidRDefault="00AB0766">
      <w:pPr>
        <w:pStyle w:val="11"/>
        <w:keepNext/>
        <w:keepLines/>
        <w:jc w:val="both"/>
      </w:pPr>
      <w:bookmarkStart w:id="13" w:name="bookmark26"/>
      <w:r>
        <w:t>Сактоо шарттары</w:t>
      </w:r>
      <w:bookmarkEnd w:id="13"/>
    </w:p>
    <w:p w14:paraId="387C821F" w14:textId="77777777" w:rsidR="002D4B6A" w:rsidRDefault="00AB0766">
      <w:pPr>
        <w:pStyle w:val="1"/>
        <w:jc w:val="both"/>
      </w:pPr>
      <w:r>
        <w:t>Жеке тацгакчасында 25°Сдан томен аба табында сактоо зарыл.</w:t>
      </w:r>
    </w:p>
    <w:p w14:paraId="1B98AE3D" w14:textId="77777777" w:rsidR="002D4B6A" w:rsidRDefault="00AB0766">
      <w:pPr>
        <w:pStyle w:val="1"/>
        <w:spacing w:after="320"/>
        <w:jc w:val="both"/>
      </w:pPr>
      <w:r>
        <w:t>Балдар жетпеген жерде сактоо керек.</w:t>
      </w:r>
    </w:p>
    <w:p w14:paraId="4B611EDE" w14:textId="77777777" w:rsidR="002D4B6A" w:rsidRDefault="00AB0766">
      <w:pPr>
        <w:pStyle w:val="11"/>
        <w:keepNext/>
        <w:keepLines/>
        <w:spacing w:after="40" w:line="240" w:lineRule="auto"/>
        <w:jc w:val="both"/>
      </w:pPr>
      <w:bookmarkStart w:id="14" w:name="bookmark28"/>
      <w:r>
        <w:t>Дал келбестиги</w:t>
      </w:r>
      <w:bookmarkEnd w:id="14"/>
    </w:p>
    <w:p w14:paraId="67EA1A24" w14:textId="77777777" w:rsidR="002D4B6A" w:rsidRPr="00116BBA" w:rsidRDefault="00AB0766">
      <w:pPr>
        <w:pStyle w:val="1"/>
        <w:spacing w:line="240" w:lineRule="auto"/>
        <w:jc w:val="both"/>
        <w:rPr>
          <w:lang w:val="ky"/>
        </w:rPr>
      </w:pPr>
      <w:r>
        <w:t xml:space="preserve">Полиэтилен (ПЭ), полипропилен (ГШ) же политетрафторэтилен (ПТФЭ) материалдары </w:t>
      </w:r>
      <w:r>
        <w:rPr>
          <w:lang w:val="ky" w:eastAsia="ky" w:bidi="ky"/>
        </w:rPr>
        <w:t xml:space="preserve">препаратты колдонууга ылайыктуу. </w:t>
      </w:r>
      <w:r w:rsidRPr="00116BBA">
        <w:rPr>
          <w:lang w:val="ky"/>
        </w:rPr>
        <w:t xml:space="preserve">Поливинилхлоридди </w:t>
      </w:r>
      <w:r>
        <w:rPr>
          <w:lang w:val="ky" w:eastAsia="ky" w:bidi="ky"/>
        </w:rPr>
        <w:t xml:space="preserve">(ПВХ) </w:t>
      </w:r>
      <w:r w:rsidRPr="00116BBA">
        <w:rPr>
          <w:lang w:val="ky"/>
        </w:rPr>
        <w:t xml:space="preserve">же </w:t>
      </w:r>
      <w:r>
        <w:rPr>
          <w:lang w:val="ky" w:eastAsia="ky" w:bidi="ky"/>
        </w:rPr>
        <w:t xml:space="preserve">полиуретанды (ПУ) инфузиялык системаларды өндүрүү үчүн материалдарды колдонгон учурда материалдар </w:t>
      </w:r>
      <w:r w:rsidRPr="00116BBA">
        <w:rPr>
          <w:lang w:val="ky"/>
        </w:rPr>
        <w:t xml:space="preserve">менен </w:t>
      </w:r>
      <w:r>
        <w:rPr>
          <w:lang w:val="ky" w:eastAsia="ky" w:bidi="ky"/>
        </w:rPr>
        <w:t xml:space="preserve">заттар адсорбциялануусунан улам активдүү заттын жоголушу мүмкүн экендиги далилденген. Бул </w:t>
      </w:r>
      <w:r w:rsidRPr="00116BBA">
        <w:rPr>
          <w:lang w:val="ky"/>
        </w:rPr>
        <w:t xml:space="preserve">материалдарды (ПВХ, ПУ) </w:t>
      </w:r>
      <w:r>
        <w:rPr>
          <w:lang w:val="ky" w:eastAsia="ky" w:bidi="ky"/>
        </w:rPr>
        <w:t xml:space="preserve">колдонууда бейтаптын </w:t>
      </w:r>
      <w:r w:rsidRPr="00116BBA">
        <w:rPr>
          <w:lang w:val="ky"/>
        </w:rPr>
        <w:t xml:space="preserve">препаратты колдонууга болгон </w:t>
      </w:r>
      <w:r>
        <w:rPr>
          <w:lang w:val="ky" w:eastAsia="ky" w:bidi="ky"/>
        </w:rPr>
        <w:t xml:space="preserve">реакциясын көзөмөлдөө </w:t>
      </w:r>
      <w:r w:rsidRPr="00116BBA">
        <w:rPr>
          <w:lang w:val="ky"/>
        </w:rPr>
        <w:t>жана зарыл болгон учурда дозасын тууралоо керек.</w:t>
      </w:r>
    </w:p>
    <w:p w14:paraId="1AF9BBB6" w14:textId="77777777" w:rsidR="002D4B6A" w:rsidRDefault="00AB0766">
      <w:pPr>
        <w:pStyle w:val="1"/>
        <w:jc w:val="both"/>
      </w:pPr>
      <w:r>
        <w:t>Эритмеде этанол, пропиленгликол жана калий иондору камтылбайт.</w:t>
      </w:r>
    </w:p>
    <w:p w14:paraId="79A2E66B" w14:textId="77777777" w:rsidR="002D4B6A" w:rsidRDefault="00AB0766">
      <w:pPr>
        <w:pStyle w:val="1"/>
        <w:spacing w:after="300"/>
        <w:jc w:val="both"/>
      </w:pPr>
      <w:r>
        <w:t>Препаратты атайын сунушталгандан башка дары каражаттар менен аралаштырууга болбойт.</w:t>
      </w:r>
    </w:p>
    <w:p w14:paraId="796E84A3" w14:textId="77777777" w:rsidR="002D4B6A" w:rsidRDefault="00AB0766">
      <w:pPr>
        <w:pStyle w:val="11"/>
        <w:keepNext/>
        <w:keepLines/>
      </w:pPr>
      <w:bookmarkStart w:id="15" w:name="bookmark30"/>
      <w:r>
        <w:t>Чыгаруу форматы</w:t>
      </w:r>
      <w:bookmarkEnd w:id="15"/>
    </w:p>
    <w:p w14:paraId="1FE36577" w14:textId="4BDD464B" w:rsidR="002D4B6A" w:rsidRDefault="00985661">
      <w:pPr>
        <w:pStyle w:val="1"/>
        <w:spacing w:after="300"/>
        <w:jc w:val="both"/>
      </w:pPr>
      <w:r>
        <w:t>10 мл ампулада, 10 ампула (5х</w:t>
      </w:r>
      <w:bookmarkStart w:id="16" w:name="_GoBack"/>
      <w:bookmarkEnd w:id="16"/>
      <w:r w:rsidR="00AB0766">
        <w:t>2) картон кутуда блистерде же кассетада.</w:t>
      </w:r>
    </w:p>
    <w:p w14:paraId="71B850A2" w14:textId="77777777" w:rsidR="002D4B6A" w:rsidRDefault="00AB0766">
      <w:pPr>
        <w:pStyle w:val="11"/>
        <w:keepNext/>
        <w:keepLines/>
      </w:pPr>
      <w:bookmarkStart w:id="17" w:name="bookmark32"/>
      <w:r>
        <w:rPr>
          <w:lang w:val="ky" w:eastAsia="ky" w:bidi="ky"/>
        </w:rPr>
        <w:t xml:space="preserve">Берүү </w:t>
      </w:r>
      <w:r>
        <w:t>шарттары</w:t>
      </w:r>
      <w:bookmarkEnd w:id="17"/>
    </w:p>
    <w:p w14:paraId="46FA3EDA" w14:textId="77777777" w:rsidR="002D4B6A" w:rsidRDefault="00AB0766">
      <w:pPr>
        <w:pStyle w:val="1"/>
        <w:spacing w:after="300"/>
        <w:jc w:val="both"/>
      </w:pPr>
      <w:r>
        <w:t>Рецепт боюнча.</w:t>
      </w:r>
    </w:p>
    <w:p w14:paraId="094A0F89" w14:textId="77777777" w:rsidR="002D4B6A" w:rsidRDefault="00AB0766">
      <w:pPr>
        <w:pStyle w:val="11"/>
        <w:keepNext/>
        <w:keepLines/>
        <w:jc w:val="both"/>
      </w:pPr>
      <w:bookmarkStart w:id="18" w:name="bookmark34"/>
      <w:r>
        <w:rPr>
          <w:lang w:val="ky" w:eastAsia="ky" w:bidi="ky"/>
        </w:rPr>
        <w:t>Өндүрүүчү</w:t>
      </w:r>
      <w:bookmarkEnd w:id="18"/>
    </w:p>
    <w:p w14:paraId="7942A22E" w14:textId="77777777" w:rsidR="002D4B6A" w:rsidRDefault="00AB0766">
      <w:pPr>
        <w:pStyle w:val="1"/>
        <w:jc w:val="both"/>
      </w:pPr>
      <w:r>
        <w:t>«ФАРМАК» АК.</w:t>
      </w:r>
    </w:p>
    <w:p w14:paraId="0C54AD62" w14:textId="77777777" w:rsidR="002D4B6A" w:rsidRDefault="00AB0766">
      <w:pPr>
        <w:pStyle w:val="1"/>
        <w:spacing w:after="300"/>
        <w:jc w:val="both"/>
      </w:pPr>
      <w:r>
        <w:t xml:space="preserve">НПФ «МИКРОХИМ» ЖЧК (серияны чыгаруу </w:t>
      </w:r>
      <w:r>
        <w:rPr>
          <w:lang w:val="ky" w:eastAsia="ky" w:bidi="ky"/>
        </w:rPr>
        <w:t xml:space="preserve">үчүн </w:t>
      </w:r>
      <w:r>
        <w:t>жооптуу).</w:t>
      </w:r>
    </w:p>
    <w:p w14:paraId="278C4705" w14:textId="77777777" w:rsidR="002D4B6A" w:rsidRDefault="00AB0766">
      <w:pPr>
        <w:pStyle w:val="11"/>
        <w:keepNext/>
        <w:keepLines/>
        <w:jc w:val="both"/>
      </w:pPr>
      <w:bookmarkStart w:id="19" w:name="bookmark36"/>
      <w:r>
        <w:rPr>
          <w:lang w:val="ky" w:eastAsia="ky" w:bidi="ky"/>
        </w:rPr>
        <w:t xml:space="preserve">Өндүрүүчүнүн </w:t>
      </w:r>
      <w:r>
        <w:t xml:space="preserve">жайгашкан жери жана анын иш </w:t>
      </w:r>
      <w:r>
        <w:rPr>
          <w:lang w:val="ky" w:eastAsia="ky" w:bidi="ky"/>
        </w:rPr>
        <w:t xml:space="preserve">жүргүзгөн </w:t>
      </w:r>
      <w:r>
        <w:t>жеринин дареги.</w:t>
      </w:r>
      <w:bookmarkEnd w:id="19"/>
    </w:p>
    <w:p w14:paraId="4B8D4A0E" w14:textId="77777777" w:rsidR="002D4B6A" w:rsidRDefault="00AB0766">
      <w:pPr>
        <w:pStyle w:val="1"/>
        <w:jc w:val="both"/>
      </w:pPr>
      <w:r>
        <w:t xml:space="preserve">Украина, 04080, Киев, Кирилловская </w:t>
      </w:r>
      <w:r>
        <w:rPr>
          <w:lang w:val="ky" w:eastAsia="ky" w:bidi="ky"/>
        </w:rPr>
        <w:t xml:space="preserve">көч., 74-үй </w:t>
      </w:r>
      <w:r>
        <w:t>(«ФАРМАК» АК).</w:t>
      </w:r>
    </w:p>
    <w:p w14:paraId="065EE09E" w14:textId="77777777" w:rsidR="002D4B6A" w:rsidRDefault="00AB0766">
      <w:pPr>
        <w:pStyle w:val="1"/>
        <w:spacing w:after="300"/>
        <w:jc w:val="both"/>
      </w:pPr>
      <w:r>
        <w:t xml:space="preserve">Украина, 93000, Луганск областы, Рубижное ш., Ленин </w:t>
      </w:r>
      <w:r>
        <w:rPr>
          <w:lang w:val="ky" w:eastAsia="ky" w:bidi="ky"/>
        </w:rPr>
        <w:t xml:space="preserve">көч., 33-үй. </w:t>
      </w:r>
      <w:r>
        <w:t>("МИКРОХИМ" НПФ ЖЧК).</w:t>
      </w:r>
    </w:p>
    <w:sectPr w:rsidR="002D4B6A">
      <w:pgSz w:w="11900" w:h="16840"/>
      <w:pgMar w:top="1139" w:right="530" w:bottom="881" w:left="1362" w:header="711" w:footer="45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DF0C7" w14:textId="77777777" w:rsidR="00AB0766" w:rsidRDefault="00AB0766">
      <w:r>
        <w:separator/>
      </w:r>
    </w:p>
  </w:endnote>
  <w:endnote w:type="continuationSeparator" w:id="0">
    <w:p w14:paraId="435FB4CE" w14:textId="77777777" w:rsidR="00AB0766" w:rsidRDefault="00AB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DF477" w14:textId="77777777" w:rsidR="00AB0766" w:rsidRDefault="00AB0766"/>
  </w:footnote>
  <w:footnote w:type="continuationSeparator" w:id="0">
    <w:p w14:paraId="64384ED9" w14:textId="77777777" w:rsidR="00AB0766" w:rsidRDefault="00AB076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A2834"/>
    <w:multiLevelType w:val="multilevel"/>
    <w:tmpl w:val="07CC77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361F29"/>
    <w:multiLevelType w:val="multilevel"/>
    <w:tmpl w:val="3BC8D3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24098A"/>
    <w:multiLevelType w:val="multilevel"/>
    <w:tmpl w:val="424E2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6A"/>
    <w:rsid w:val="00116BBA"/>
    <w:rsid w:val="002D4B6A"/>
    <w:rsid w:val="00985661"/>
    <w:rsid w:val="00AB0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3FAF"/>
  <w15:docId w15:val="{027ED0C4-8DC7-4F90-B46D-49E42232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2"/>
      <w:szCs w:val="22"/>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2"/>
      <w:szCs w:val="22"/>
      <w:u w:val="none"/>
    </w:rPr>
  </w:style>
  <w:style w:type="paragraph" w:customStyle="1" w:styleId="1">
    <w:name w:val="Основной текст1"/>
    <w:basedOn w:val="a"/>
    <w:link w:val="a3"/>
    <w:pPr>
      <w:spacing w:line="302" w:lineRule="auto"/>
    </w:pPr>
    <w:rPr>
      <w:rFonts w:ascii="Times New Roman" w:eastAsia="Times New Roman" w:hAnsi="Times New Roman" w:cs="Times New Roman"/>
      <w:sz w:val="22"/>
      <w:szCs w:val="22"/>
    </w:rPr>
  </w:style>
  <w:style w:type="paragraph" w:customStyle="1" w:styleId="11">
    <w:name w:val="Заголовок №1"/>
    <w:basedOn w:val="a"/>
    <w:link w:val="10"/>
    <w:pPr>
      <w:spacing w:line="302" w:lineRule="auto"/>
      <w:outlineLvl w:val="0"/>
    </w:pPr>
    <w:rPr>
      <w:rFonts w:ascii="Times New Roman" w:eastAsia="Times New Roman" w:hAnsi="Times New Roman" w:cs="Times New Roman"/>
      <w:b/>
      <w:bCs/>
      <w:sz w:val="22"/>
      <w:szCs w:val="22"/>
    </w:rPr>
  </w:style>
  <w:style w:type="paragraph" w:customStyle="1" w:styleId="a5">
    <w:name w:val="Подпись к таблице"/>
    <w:basedOn w:val="a"/>
    <w:link w:val="a4"/>
    <w:rPr>
      <w:rFonts w:ascii="Times New Roman" w:eastAsia="Times New Roman" w:hAnsi="Times New Roman" w:cs="Times New Roman"/>
      <w:sz w:val="22"/>
      <w:szCs w:val="22"/>
    </w:rPr>
  </w:style>
  <w:style w:type="paragraph" w:customStyle="1" w:styleId="a7">
    <w:name w:val="Другое"/>
    <w:basedOn w:val="a"/>
    <w:link w:val="a6"/>
    <w:pPr>
      <w:spacing w:line="302"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2991</Words>
  <Characters>17053</Characters>
  <Application>Microsoft Office Word</Application>
  <DocSecurity>0</DocSecurity>
  <Lines>142</Lines>
  <Paragraphs>40</Paragraphs>
  <ScaleCrop>false</ScaleCrop>
  <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Admin</cp:lastModifiedBy>
  <cp:revision>2</cp:revision>
  <dcterms:created xsi:type="dcterms:W3CDTF">2025-07-28T09:55:00Z</dcterms:created>
  <dcterms:modified xsi:type="dcterms:W3CDTF">2025-07-28T10:14:00Z</dcterms:modified>
</cp:coreProperties>
</file>